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8DCF7" w14:textId="0728D1E9" w:rsidR="008E11DA" w:rsidRPr="00127057" w:rsidRDefault="00D46ED0" w:rsidP="008E11DA">
      <w:pPr>
        <w:pStyle w:val="Naslov4"/>
        <w:spacing w:after="0"/>
      </w:pPr>
      <w:r>
        <w:t>KAZNIONICA U POŽEGI</w:t>
      </w:r>
    </w:p>
    <w:p w14:paraId="61159421" w14:textId="77777777" w:rsidR="001C051D" w:rsidRDefault="001C051D" w:rsidP="001C051D">
      <w:pPr>
        <w:rPr>
          <w:i/>
          <w:sz w:val="24"/>
          <w:szCs w:val="24"/>
        </w:rPr>
      </w:pPr>
    </w:p>
    <w:p w14:paraId="2F27CF29" w14:textId="77777777" w:rsidR="008E11DA" w:rsidRPr="00C41928" w:rsidRDefault="008E11DA" w:rsidP="008E11DA">
      <w:pPr>
        <w:spacing w:after="0"/>
        <w:rPr>
          <w:szCs w:val="22"/>
        </w:rPr>
      </w:pPr>
    </w:p>
    <w:tbl>
      <w:tblPr>
        <w:tblStyle w:val="StilTablice"/>
        <w:tblW w:w="8906" w:type="dxa"/>
        <w:jc w:val="center"/>
        <w:tblLook w:val="04A0" w:firstRow="1" w:lastRow="0" w:firstColumn="1" w:lastColumn="0" w:noHBand="0" w:noVBand="1"/>
      </w:tblPr>
      <w:tblGrid>
        <w:gridCol w:w="1423"/>
        <w:gridCol w:w="1504"/>
        <w:gridCol w:w="1470"/>
        <w:gridCol w:w="1503"/>
        <w:gridCol w:w="1503"/>
        <w:gridCol w:w="1503"/>
      </w:tblGrid>
      <w:tr w:rsidR="00B16197" w:rsidRPr="00C41928" w14:paraId="7DD0AD33" w14:textId="77777777" w:rsidTr="00B16197">
        <w:trPr>
          <w:trHeight w:val="541"/>
          <w:jc w:val="center"/>
        </w:trPr>
        <w:tc>
          <w:tcPr>
            <w:tcW w:w="1423" w:type="dxa"/>
            <w:shd w:val="clear" w:color="auto" w:fill="B5C0D8"/>
          </w:tcPr>
          <w:p w14:paraId="2543132A" w14:textId="77777777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bookmarkStart w:id="0" w:name="_Hlk162530135"/>
            <w:bookmarkStart w:id="1" w:name="_Hlk135807407"/>
            <w:r w:rsidRPr="00C41928">
              <w:rPr>
                <w:rFonts w:cs="Times New Roman"/>
                <w:sz w:val="22"/>
              </w:rPr>
              <w:t>Aktivnost</w:t>
            </w:r>
          </w:p>
        </w:tc>
        <w:tc>
          <w:tcPr>
            <w:tcW w:w="1504" w:type="dxa"/>
            <w:shd w:val="clear" w:color="auto" w:fill="B5C0D8"/>
            <w:vAlign w:val="top"/>
          </w:tcPr>
          <w:p w14:paraId="1942FFBD" w14:textId="3A16506C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Izvršenje 2022.</w:t>
            </w:r>
            <w:r>
              <w:rPr>
                <w:rFonts w:cs="Times New Roman"/>
                <w:sz w:val="22"/>
              </w:rPr>
              <w:t xml:space="preserve"> €</w:t>
            </w:r>
          </w:p>
        </w:tc>
        <w:tc>
          <w:tcPr>
            <w:tcW w:w="1470" w:type="dxa"/>
            <w:shd w:val="clear" w:color="auto" w:fill="B5C0D8"/>
            <w:vAlign w:val="top"/>
          </w:tcPr>
          <w:p w14:paraId="3A59A218" w14:textId="079EDB64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Plan 2023.</w:t>
            </w:r>
          </w:p>
        </w:tc>
        <w:tc>
          <w:tcPr>
            <w:tcW w:w="1503" w:type="dxa"/>
            <w:shd w:val="clear" w:color="auto" w:fill="B5C0D8"/>
          </w:tcPr>
          <w:p w14:paraId="1BAC418C" w14:textId="05181FE5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2BA9536C">
              <w:rPr>
                <w:rFonts w:cs="Times New Roman"/>
              </w:rPr>
              <w:t>Izvršenje 2023.</w:t>
            </w:r>
          </w:p>
        </w:tc>
        <w:tc>
          <w:tcPr>
            <w:tcW w:w="1503" w:type="dxa"/>
            <w:shd w:val="clear" w:color="auto" w:fill="B5C0D8"/>
          </w:tcPr>
          <w:p w14:paraId="3A5B4EA2" w14:textId="420AF407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2BA9536C">
              <w:rPr>
                <w:rFonts w:cs="Times New Roman"/>
              </w:rPr>
              <w:t>Indeks izvršenje 2023./plan 2023.</w:t>
            </w:r>
          </w:p>
        </w:tc>
        <w:tc>
          <w:tcPr>
            <w:tcW w:w="1503" w:type="dxa"/>
            <w:shd w:val="clear" w:color="auto" w:fill="B5C0D8"/>
          </w:tcPr>
          <w:p w14:paraId="5BE46E39" w14:textId="7A96EAF5" w:rsidR="00B16197" w:rsidRPr="00C41928" w:rsidRDefault="00B16197" w:rsidP="00B16197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2BA9536C">
              <w:rPr>
                <w:rFonts w:cs="Times New Roman"/>
              </w:rPr>
              <w:t>Indeks izvršenje 2023./2022.</w:t>
            </w:r>
          </w:p>
        </w:tc>
      </w:tr>
      <w:bookmarkEnd w:id="0"/>
      <w:tr w:rsidR="00B16197" w:rsidRPr="00C41928" w14:paraId="24C90181" w14:textId="77777777" w:rsidTr="00B16197">
        <w:trPr>
          <w:trHeight w:val="343"/>
          <w:jc w:val="center"/>
        </w:trPr>
        <w:tc>
          <w:tcPr>
            <w:tcW w:w="1423" w:type="dxa"/>
            <w:vAlign w:val="top"/>
          </w:tcPr>
          <w:p w14:paraId="49916E25" w14:textId="696C0743" w:rsidR="00B16197" w:rsidRPr="00C41928" w:rsidRDefault="00B16197" w:rsidP="00127057">
            <w:pPr>
              <w:pStyle w:val="Naslov4"/>
              <w:spacing w:after="0"/>
              <w:jc w:val="center"/>
              <w:outlineLvl w:val="3"/>
              <w:rPr>
                <w:sz w:val="22"/>
                <w:szCs w:val="22"/>
              </w:rPr>
            </w:pPr>
            <w:r w:rsidRPr="00C41928">
              <w:rPr>
                <w:b w:val="0"/>
                <w:bCs w:val="0"/>
                <w:i/>
                <w:iCs/>
                <w:sz w:val="22"/>
                <w:szCs w:val="22"/>
              </w:rPr>
              <w:t>A630000</w:t>
            </w:r>
          </w:p>
        </w:tc>
        <w:tc>
          <w:tcPr>
            <w:tcW w:w="1504" w:type="dxa"/>
            <w:vAlign w:val="top"/>
          </w:tcPr>
          <w:p w14:paraId="6B3B5B94" w14:textId="09015617" w:rsidR="00B16197" w:rsidRPr="00C41928" w:rsidRDefault="00D46ED0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7.088.781,24</w:t>
            </w:r>
          </w:p>
        </w:tc>
        <w:tc>
          <w:tcPr>
            <w:tcW w:w="1470" w:type="dxa"/>
            <w:vAlign w:val="top"/>
          </w:tcPr>
          <w:p w14:paraId="5F352A4F" w14:textId="6C23DE63" w:rsidR="00B16197" w:rsidRPr="00C41928" w:rsidRDefault="00D46ED0" w:rsidP="002847E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2847E9">
              <w:rPr>
                <w:sz w:val="22"/>
                <w:szCs w:val="22"/>
              </w:rPr>
              <w:t>711.898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03" w:type="dxa"/>
            <w:vAlign w:val="top"/>
          </w:tcPr>
          <w:p w14:paraId="15A5081F" w14:textId="11E4E50C" w:rsidR="00016131" w:rsidRPr="00C41928" w:rsidRDefault="00016131" w:rsidP="0001613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8.498.886,88</w:t>
            </w:r>
          </w:p>
        </w:tc>
        <w:tc>
          <w:tcPr>
            <w:tcW w:w="1503" w:type="dxa"/>
            <w:vAlign w:val="top"/>
          </w:tcPr>
          <w:p w14:paraId="7735448E" w14:textId="2A147D21" w:rsidR="00016131" w:rsidRPr="00C41928" w:rsidRDefault="00D46ED0" w:rsidP="0001613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</w:t>
            </w:r>
            <w:r w:rsidR="00016131">
              <w:rPr>
                <w:sz w:val="22"/>
                <w:szCs w:val="22"/>
              </w:rPr>
              <w:t>55</w:t>
            </w:r>
          </w:p>
        </w:tc>
        <w:tc>
          <w:tcPr>
            <w:tcW w:w="1503" w:type="dxa"/>
            <w:vAlign w:val="top"/>
          </w:tcPr>
          <w:p w14:paraId="5193FDBC" w14:textId="50C6E417" w:rsidR="00B16197" w:rsidRPr="00C41928" w:rsidRDefault="00016131" w:rsidP="002221B2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119,89</w:t>
            </w:r>
          </w:p>
        </w:tc>
      </w:tr>
      <w:bookmarkEnd w:id="1"/>
    </w:tbl>
    <w:p w14:paraId="4E4B85B5" w14:textId="77777777" w:rsidR="008E11DA" w:rsidRPr="00C41928" w:rsidRDefault="008E11DA" w:rsidP="008E11DA">
      <w:pPr>
        <w:spacing w:after="0"/>
        <w:jc w:val="left"/>
        <w:rPr>
          <w:szCs w:val="22"/>
        </w:rPr>
      </w:pPr>
    </w:p>
    <w:p w14:paraId="3D000502" w14:textId="16505270" w:rsidR="00907DE9" w:rsidRPr="002847E9" w:rsidRDefault="009C78B2" w:rsidP="00D27D48">
      <w:pPr>
        <w:spacing w:after="0"/>
        <w:rPr>
          <w:sz w:val="24"/>
          <w:szCs w:val="24"/>
        </w:rPr>
      </w:pPr>
      <w:r w:rsidRPr="002847E9">
        <w:rPr>
          <w:sz w:val="24"/>
          <w:szCs w:val="24"/>
        </w:rPr>
        <w:t>U okviru ove aktivnosti  sredstva  su utrošena za financiranje rashoda za zaposlene i materijalnih rashoda potrebnih za redovan rad i funkcioniranje zatvorskog sustava.</w:t>
      </w:r>
    </w:p>
    <w:p w14:paraId="22775EAB" w14:textId="77777777" w:rsidR="009C78B2" w:rsidRPr="002847E9" w:rsidRDefault="009C78B2" w:rsidP="00D27D48">
      <w:pPr>
        <w:spacing w:after="0"/>
        <w:rPr>
          <w:sz w:val="24"/>
          <w:szCs w:val="24"/>
        </w:rPr>
      </w:pPr>
    </w:p>
    <w:p w14:paraId="07AC770E" w14:textId="49277831" w:rsidR="00907DE9" w:rsidRPr="002847E9" w:rsidRDefault="00907DE9" w:rsidP="00D27D48">
      <w:pPr>
        <w:spacing w:after="0"/>
        <w:rPr>
          <w:sz w:val="24"/>
          <w:szCs w:val="24"/>
          <w:u w:val="single"/>
        </w:rPr>
      </w:pPr>
      <w:r w:rsidRPr="002847E9">
        <w:rPr>
          <w:sz w:val="24"/>
          <w:szCs w:val="24"/>
          <w:u w:val="single"/>
        </w:rPr>
        <w:t>Izvor 11</w:t>
      </w:r>
    </w:p>
    <w:p w14:paraId="16E8C0E3" w14:textId="77777777" w:rsidR="00780A30" w:rsidRPr="002847E9" w:rsidRDefault="00780A30" w:rsidP="00D27D48">
      <w:pPr>
        <w:spacing w:after="0"/>
        <w:rPr>
          <w:sz w:val="24"/>
          <w:szCs w:val="24"/>
        </w:rPr>
      </w:pPr>
    </w:p>
    <w:p w14:paraId="346A801B" w14:textId="77777777" w:rsidR="00AA7B1C" w:rsidRPr="002847E9" w:rsidRDefault="00AA7B1C" w:rsidP="00AA7B1C">
      <w:pPr>
        <w:spacing w:after="0"/>
        <w:rPr>
          <w:sz w:val="24"/>
          <w:szCs w:val="24"/>
        </w:rPr>
      </w:pPr>
    </w:p>
    <w:p w14:paraId="3B961545" w14:textId="4FB1567B" w:rsidR="00AA7B1C" w:rsidRPr="00EB77AD" w:rsidRDefault="00AA7B1C" w:rsidP="00EB77AD">
      <w:pPr>
        <w:spacing w:after="0"/>
        <w:rPr>
          <w:sz w:val="24"/>
          <w:szCs w:val="24"/>
        </w:rPr>
      </w:pPr>
      <w:r w:rsidRPr="002847E9">
        <w:rPr>
          <w:b/>
          <w:sz w:val="24"/>
          <w:szCs w:val="24"/>
        </w:rPr>
        <w:t>31 Rashodi za zaposlene</w:t>
      </w:r>
      <w:r w:rsidRPr="002847E9">
        <w:rPr>
          <w:sz w:val="24"/>
          <w:szCs w:val="24"/>
        </w:rPr>
        <w:t xml:space="preserve"> –</w:t>
      </w:r>
      <w:r w:rsidR="00EB77AD">
        <w:rPr>
          <w:sz w:val="24"/>
          <w:szCs w:val="24"/>
        </w:rPr>
        <w:t xml:space="preserve"> </w:t>
      </w:r>
      <w:r w:rsidRPr="002847E9">
        <w:rPr>
          <w:bCs/>
          <w:sz w:val="24"/>
          <w:szCs w:val="24"/>
        </w:rPr>
        <w:t>planirana su sredstva za</w:t>
      </w:r>
      <w:r w:rsidRPr="002847E9">
        <w:rPr>
          <w:b/>
          <w:sz w:val="24"/>
          <w:szCs w:val="24"/>
        </w:rPr>
        <w:t xml:space="preserve"> rashode za zaposlene u 2023. godini </w:t>
      </w:r>
      <w:r w:rsidRPr="002847E9">
        <w:rPr>
          <w:bCs/>
          <w:sz w:val="24"/>
          <w:szCs w:val="24"/>
        </w:rPr>
        <w:t>u iznosu od</w:t>
      </w:r>
      <w:r w:rsidRPr="002847E9">
        <w:rPr>
          <w:b/>
          <w:sz w:val="24"/>
          <w:szCs w:val="24"/>
        </w:rPr>
        <w:t xml:space="preserve"> </w:t>
      </w:r>
      <w:r w:rsidR="0097572C" w:rsidRPr="002847E9">
        <w:rPr>
          <w:b/>
          <w:sz w:val="24"/>
          <w:szCs w:val="24"/>
        </w:rPr>
        <w:t>5.512.597,00</w:t>
      </w:r>
      <w:r w:rsidRPr="002847E9">
        <w:rPr>
          <w:b/>
          <w:sz w:val="24"/>
          <w:szCs w:val="24"/>
        </w:rPr>
        <w:t xml:space="preserve"> EUR, </w:t>
      </w:r>
      <w:r w:rsidRPr="002847E9">
        <w:rPr>
          <w:sz w:val="24"/>
          <w:szCs w:val="24"/>
        </w:rPr>
        <w:t xml:space="preserve">a izvršeni su u iznosu </w:t>
      </w:r>
      <w:r w:rsidR="0097572C" w:rsidRPr="002847E9">
        <w:rPr>
          <w:b/>
          <w:bCs/>
          <w:sz w:val="24"/>
          <w:szCs w:val="24"/>
        </w:rPr>
        <w:t>5.511,582,00</w:t>
      </w:r>
      <w:r w:rsidRPr="002847E9">
        <w:rPr>
          <w:b/>
          <w:bCs/>
          <w:sz w:val="24"/>
          <w:szCs w:val="24"/>
        </w:rPr>
        <w:t xml:space="preserve"> EUR</w:t>
      </w:r>
      <w:r w:rsidRPr="002847E9">
        <w:rPr>
          <w:sz w:val="24"/>
          <w:szCs w:val="24"/>
        </w:rPr>
        <w:t>, odnosno 99,</w:t>
      </w:r>
      <w:r w:rsidR="0097572C" w:rsidRPr="002847E9">
        <w:rPr>
          <w:sz w:val="24"/>
          <w:szCs w:val="24"/>
        </w:rPr>
        <w:t>98</w:t>
      </w:r>
      <w:r w:rsidRPr="002847E9">
        <w:rPr>
          <w:sz w:val="24"/>
          <w:szCs w:val="24"/>
        </w:rPr>
        <w:t xml:space="preserve"> % u odnosu na plan.</w:t>
      </w:r>
    </w:p>
    <w:p w14:paraId="07BAC2A0" w14:textId="737C9915" w:rsidR="00AA7B1C" w:rsidRPr="002847E9" w:rsidRDefault="00AA7B1C" w:rsidP="00AA7B1C">
      <w:pPr>
        <w:rPr>
          <w:b/>
          <w:sz w:val="24"/>
          <w:szCs w:val="24"/>
        </w:rPr>
      </w:pPr>
      <w:r w:rsidRPr="002847E9">
        <w:rPr>
          <w:bCs/>
          <w:sz w:val="24"/>
          <w:szCs w:val="24"/>
        </w:rPr>
        <w:t>Planirana sredstva za</w:t>
      </w:r>
      <w:r w:rsidRPr="002847E9">
        <w:rPr>
          <w:b/>
          <w:sz w:val="24"/>
          <w:szCs w:val="24"/>
        </w:rPr>
        <w:t xml:space="preserve"> plaće za zaposlene u 2023. godini </w:t>
      </w:r>
      <w:r w:rsidRPr="002847E9">
        <w:rPr>
          <w:bCs/>
          <w:sz w:val="24"/>
          <w:szCs w:val="24"/>
        </w:rPr>
        <w:t xml:space="preserve">iznose </w:t>
      </w:r>
      <w:r w:rsidR="0097572C" w:rsidRPr="002847E9">
        <w:rPr>
          <w:b/>
          <w:sz w:val="24"/>
          <w:szCs w:val="24"/>
        </w:rPr>
        <w:t>4.155.299,00</w:t>
      </w:r>
      <w:r w:rsidRPr="002847E9">
        <w:rPr>
          <w:b/>
          <w:sz w:val="24"/>
          <w:szCs w:val="24"/>
        </w:rPr>
        <w:t xml:space="preserve"> EUR, </w:t>
      </w:r>
      <w:r w:rsidRPr="002847E9">
        <w:rPr>
          <w:bCs/>
          <w:sz w:val="24"/>
          <w:szCs w:val="24"/>
        </w:rPr>
        <w:t>a izvršeni su u iznosu od</w:t>
      </w:r>
      <w:r w:rsidRPr="002847E9">
        <w:rPr>
          <w:b/>
          <w:sz w:val="24"/>
          <w:szCs w:val="24"/>
        </w:rPr>
        <w:t xml:space="preserve"> </w:t>
      </w:r>
      <w:r w:rsidR="0097572C" w:rsidRPr="002847E9">
        <w:rPr>
          <w:b/>
          <w:sz w:val="24"/>
          <w:szCs w:val="24"/>
        </w:rPr>
        <w:t>4.155.155,70</w:t>
      </w:r>
      <w:r w:rsidRPr="002847E9">
        <w:rPr>
          <w:b/>
          <w:sz w:val="24"/>
          <w:szCs w:val="24"/>
        </w:rPr>
        <w:t xml:space="preserve"> EUR</w:t>
      </w:r>
      <w:r w:rsidRPr="002847E9">
        <w:rPr>
          <w:sz w:val="24"/>
          <w:szCs w:val="24"/>
        </w:rPr>
        <w:t xml:space="preserve"> za </w:t>
      </w:r>
      <w:r w:rsidR="0097572C" w:rsidRPr="002847E9">
        <w:rPr>
          <w:sz w:val="24"/>
          <w:szCs w:val="24"/>
        </w:rPr>
        <w:t>196</w:t>
      </w:r>
      <w:r w:rsidRPr="002847E9">
        <w:rPr>
          <w:sz w:val="24"/>
          <w:szCs w:val="24"/>
        </w:rPr>
        <w:t xml:space="preserve"> zaposlenih, </w:t>
      </w:r>
      <w:r w:rsidR="0097572C" w:rsidRPr="002847E9">
        <w:rPr>
          <w:sz w:val="24"/>
          <w:szCs w:val="24"/>
        </w:rPr>
        <w:t>odnosno 100,00</w:t>
      </w:r>
      <w:r w:rsidRPr="002847E9">
        <w:rPr>
          <w:sz w:val="24"/>
          <w:szCs w:val="24"/>
        </w:rPr>
        <w:t xml:space="preserve"> % u odnosu na plan.</w:t>
      </w:r>
    </w:p>
    <w:p w14:paraId="22C91D56" w14:textId="7DE2E8C3" w:rsidR="00AA7B1C" w:rsidRPr="002847E9" w:rsidRDefault="00AA7B1C" w:rsidP="00AA7B1C">
      <w:pPr>
        <w:spacing w:after="0"/>
        <w:rPr>
          <w:sz w:val="24"/>
          <w:szCs w:val="24"/>
        </w:rPr>
      </w:pPr>
      <w:r w:rsidRPr="002847E9">
        <w:rPr>
          <w:sz w:val="24"/>
          <w:szCs w:val="24"/>
        </w:rPr>
        <w:t xml:space="preserve">Ostali rashodi za zaposlene planirani su u  iznosu </w:t>
      </w:r>
      <w:r w:rsidR="0097572C" w:rsidRPr="002847E9">
        <w:rPr>
          <w:b/>
          <w:bCs/>
          <w:sz w:val="24"/>
          <w:szCs w:val="24"/>
        </w:rPr>
        <w:t>239.592,00</w:t>
      </w:r>
      <w:r w:rsidRPr="002847E9">
        <w:rPr>
          <w:b/>
          <w:bCs/>
          <w:sz w:val="24"/>
          <w:szCs w:val="24"/>
        </w:rPr>
        <w:t xml:space="preserve"> EUR, </w:t>
      </w:r>
      <w:r w:rsidRPr="002847E9">
        <w:rPr>
          <w:sz w:val="24"/>
          <w:szCs w:val="24"/>
        </w:rPr>
        <w:t>a izvršeni su u iznosu</w:t>
      </w:r>
      <w:r w:rsidRPr="002847E9">
        <w:rPr>
          <w:b/>
          <w:bCs/>
          <w:sz w:val="24"/>
          <w:szCs w:val="24"/>
        </w:rPr>
        <w:t xml:space="preserve"> </w:t>
      </w:r>
      <w:r w:rsidR="0097572C" w:rsidRPr="002847E9">
        <w:rPr>
          <w:b/>
          <w:bCs/>
          <w:sz w:val="24"/>
          <w:szCs w:val="24"/>
        </w:rPr>
        <w:t>238.785,76</w:t>
      </w:r>
      <w:r w:rsidRPr="002847E9">
        <w:rPr>
          <w:b/>
          <w:bCs/>
          <w:sz w:val="24"/>
          <w:szCs w:val="24"/>
        </w:rPr>
        <w:t xml:space="preserve"> EUR, </w:t>
      </w:r>
      <w:r w:rsidRPr="002847E9">
        <w:rPr>
          <w:sz w:val="24"/>
          <w:szCs w:val="24"/>
        </w:rPr>
        <w:t>odnosno 99,</w:t>
      </w:r>
      <w:r w:rsidR="0097572C" w:rsidRPr="002847E9">
        <w:rPr>
          <w:sz w:val="24"/>
          <w:szCs w:val="24"/>
        </w:rPr>
        <w:t>66</w:t>
      </w:r>
      <w:r w:rsidRPr="002847E9">
        <w:rPr>
          <w:sz w:val="24"/>
          <w:szCs w:val="24"/>
        </w:rPr>
        <w:t xml:space="preserve"> % u odnosu na plan,</w:t>
      </w:r>
      <w:r w:rsidRPr="002847E9">
        <w:rPr>
          <w:b/>
          <w:bCs/>
          <w:sz w:val="24"/>
          <w:szCs w:val="24"/>
        </w:rPr>
        <w:t xml:space="preserve"> </w:t>
      </w:r>
      <w:r w:rsidRPr="002847E9">
        <w:rPr>
          <w:sz w:val="24"/>
          <w:szCs w:val="24"/>
        </w:rPr>
        <w:t xml:space="preserve">a odnose se na isplatu za regres u iznosu od </w:t>
      </w:r>
      <w:r w:rsidR="0097572C" w:rsidRPr="002847E9">
        <w:rPr>
          <w:sz w:val="24"/>
          <w:szCs w:val="24"/>
        </w:rPr>
        <w:t>61.099,08</w:t>
      </w:r>
      <w:r w:rsidRPr="002847E9">
        <w:rPr>
          <w:sz w:val="24"/>
          <w:szCs w:val="24"/>
        </w:rPr>
        <w:t xml:space="preserve"> </w:t>
      </w:r>
      <w:bookmarkStart w:id="2" w:name="_Hlk161923017"/>
      <w:r w:rsidRPr="002847E9">
        <w:rPr>
          <w:sz w:val="24"/>
          <w:szCs w:val="24"/>
        </w:rPr>
        <w:t>EUR</w:t>
      </w:r>
      <w:bookmarkEnd w:id="2"/>
      <w:r w:rsidRPr="002847E9">
        <w:rPr>
          <w:sz w:val="24"/>
          <w:szCs w:val="24"/>
        </w:rPr>
        <w:t xml:space="preserve">, isplatu božićnice u iznosu </w:t>
      </w:r>
      <w:r w:rsidR="0097572C" w:rsidRPr="002847E9">
        <w:rPr>
          <w:sz w:val="24"/>
          <w:szCs w:val="24"/>
        </w:rPr>
        <w:t>62.891,65</w:t>
      </w:r>
      <w:r w:rsidRPr="002847E9">
        <w:rPr>
          <w:sz w:val="24"/>
          <w:szCs w:val="24"/>
        </w:rPr>
        <w:t xml:space="preserve"> EUR, otpremnine u iznosu </w:t>
      </w:r>
      <w:r w:rsidR="0097572C" w:rsidRPr="002847E9">
        <w:rPr>
          <w:sz w:val="24"/>
          <w:szCs w:val="24"/>
        </w:rPr>
        <w:t>71.261,19</w:t>
      </w:r>
      <w:r w:rsidRPr="002847E9">
        <w:rPr>
          <w:sz w:val="24"/>
          <w:szCs w:val="24"/>
        </w:rPr>
        <w:t xml:space="preserve"> EUR za </w:t>
      </w:r>
      <w:r w:rsidR="001B2B24" w:rsidRPr="002847E9">
        <w:rPr>
          <w:sz w:val="24"/>
          <w:szCs w:val="24"/>
        </w:rPr>
        <w:t>5</w:t>
      </w:r>
      <w:r w:rsidRPr="002847E9">
        <w:rPr>
          <w:sz w:val="24"/>
          <w:szCs w:val="24"/>
        </w:rPr>
        <w:t xml:space="preserve"> djelatnika</w:t>
      </w:r>
      <w:r w:rsidR="001B2B24" w:rsidRPr="002847E9">
        <w:rPr>
          <w:sz w:val="24"/>
          <w:szCs w:val="24"/>
        </w:rPr>
        <w:t>, od kojih su 4</w:t>
      </w:r>
      <w:r w:rsidRPr="002847E9">
        <w:rPr>
          <w:sz w:val="24"/>
          <w:szCs w:val="24"/>
        </w:rPr>
        <w:t xml:space="preserve"> po posebnim uvjetima, jubilarne nagrade u iznosu </w:t>
      </w:r>
      <w:r w:rsidR="0097572C" w:rsidRPr="002847E9">
        <w:rPr>
          <w:sz w:val="24"/>
          <w:szCs w:val="24"/>
        </w:rPr>
        <w:t>20.540,94</w:t>
      </w:r>
      <w:r w:rsidRPr="002847E9">
        <w:rPr>
          <w:sz w:val="24"/>
          <w:szCs w:val="24"/>
        </w:rPr>
        <w:t xml:space="preserve"> EUR, dar za sv. Nikolu u iznosu </w:t>
      </w:r>
      <w:r w:rsidR="0097572C" w:rsidRPr="002847E9">
        <w:rPr>
          <w:sz w:val="24"/>
          <w:szCs w:val="24"/>
        </w:rPr>
        <w:t>12.400</w:t>
      </w:r>
      <w:r w:rsidRPr="002847E9">
        <w:rPr>
          <w:sz w:val="24"/>
          <w:szCs w:val="24"/>
        </w:rPr>
        <w:t xml:space="preserve">,00 EUR,  te pomoći za bolovanje, rođenje i smrt člana obitelji u iznosu </w:t>
      </w:r>
      <w:r w:rsidR="001B2B24" w:rsidRPr="002847E9">
        <w:rPr>
          <w:sz w:val="24"/>
          <w:szCs w:val="24"/>
        </w:rPr>
        <w:t>10.592,90</w:t>
      </w:r>
      <w:r w:rsidRPr="002847E9">
        <w:rPr>
          <w:sz w:val="24"/>
          <w:szCs w:val="24"/>
        </w:rPr>
        <w:t xml:space="preserve"> EUR.</w:t>
      </w:r>
    </w:p>
    <w:p w14:paraId="18774256" w14:textId="77777777" w:rsidR="00AA7B1C" w:rsidRPr="002847E9" w:rsidRDefault="00AA7B1C" w:rsidP="00AA7B1C">
      <w:pPr>
        <w:spacing w:after="0"/>
        <w:rPr>
          <w:sz w:val="24"/>
          <w:szCs w:val="24"/>
        </w:rPr>
      </w:pPr>
    </w:p>
    <w:p w14:paraId="3238ABC5" w14:textId="050870B6" w:rsidR="00AA7B1C" w:rsidRPr="002847E9" w:rsidRDefault="00AA7B1C" w:rsidP="00AA7B1C">
      <w:pPr>
        <w:spacing w:after="0"/>
        <w:rPr>
          <w:sz w:val="24"/>
          <w:szCs w:val="24"/>
        </w:rPr>
      </w:pPr>
      <w:r w:rsidRPr="002847E9">
        <w:rPr>
          <w:sz w:val="24"/>
          <w:szCs w:val="24"/>
        </w:rPr>
        <w:t xml:space="preserve">Doprinosi na plaće planirani su u iznosu </w:t>
      </w:r>
      <w:r w:rsidR="001B2B24" w:rsidRPr="002847E9">
        <w:rPr>
          <w:b/>
          <w:bCs/>
          <w:sz w:val="24"/>
          <w:szCs w:val="24"/>
        </w:rPr>
        <w:t>1.117.776,00</w:t>
      </w:r>
      <w:r w:rsidRPr="002847E9">
        <w:rPr>
          <w:b/>
          <w:bCs/>
          <w:sz w:val="24"/>
          <w:szCs w:val="24"/>
        </w:rPr>
        <w:t xml:space="preserve">, </w:t>
      </w:r>
      <w:r w:rsidRPr="002847E9">
        <w:rPr>
          <w:sz w:val="24"/>
          <w:szCs w:val="24"/>
        </w:rPr>
        <w:t xml:space="preserve">a izvršeni su u iznosu od </w:t>
      </w:r>
      <w:r w:rsidR="001B2B24" w:rsidRPr="002847E9">
        <w:rPr>
          <w:b/>
          <w:bCs/>
          <w:sz w:val="24"/>
          <w:szCs w:val="24"/>
        </w:rPr>
        <w:t>1.117.640,54</w:t>
      </w:r>
      <w:r w:rsidRPr="002847E9">
        <w:rPr>
          <w:b/>
          <w:bCs/>
          <w:sz w:val="24"/>
          <w:szCs w:val="24"/>
        </w:rPr>
        <w:t xml:space="preserve"> EUR</w:t>
      </w:r>
      <w:r w:rsidRPr="002847E9">
        <w:rPr>
          <w:sz w:val="24"/>
          <w:szCs w:val="24"/>
        </w:rPr>
        <w:t>, odnosno</w:t>
      </w:r>
      <w:r w:rsidR="001B2B24" w:rsidRPr="002847E9">
        <w:rPr>
          <w:sz w:val="24"/>
          <w:szCs w:val="24"/>
        </w:rPr>
        <w:t xml:space="preserve"> 99,99</w:t>
      </w:r>
      <w:r w:rsidRPr="002847E9">
        <w:rPr>
          <w:sz w:val="24"/>
          <w:szCs w:val="24"/>
        </w:rPr>
        <w:t xml:space="preserve"> % u odnosu na plan.</w:t>
      </w:r>
    </w:p>
    <w:p w14:paraId="432265D4" w14:textId="77777777" w:rsidR="00AA7B1C" w:rsidRPr="002847E9" w:rsidRDefault="00AA7B1C" w:rsidP="00AA7B1C">
      <w:pPr>
        <w:spacing w:after="0"/>
        <w:rPr>
          <w:sz w:val="24"/>
          <w:szCs w:val="24"/>
        </w:rPr>
      </w:pPr>
    </w:p>
    <w:p w14:paraId="19A957E0" w14:textId="77777777" w:rsidR="00AA7B1C" w:rsidRPr="002847E9" w:rsidRDefault="00AA7B1C" w:rsidP="00AA7B1C">
      <w:pPr>
        <w:spacing w:after="0"/>
        <w:rPr>
          <w:sz w:val="24"/>
          <w:szCs w:val="24"/>
        </w:rPr>
      </w:pPr>
      <w:r w:rsidRPr="002847E9">
        <w:rPr>
          <w:sz w:val="24"/>
          <w:szCs w:val="24"/>
        </w:rPr>
        <w:t xml:space="preserve"> </w:t>
      </w:r>
    </w:p>
    <w:p w14:paraId="6E8C311F" w14:textId="23D7E081" w:rsidR="00AA7B1C" w:rsidRPr="002847E9" w:rsidRDefault="00AA7B1C" w:rsidP="00AF2147">
      <w:pPr>
        <w:spacing w:after="0"/>
        <w:rPr>
          <w:b/>
          <w:sz w:val="24"/>
          <w:szCs w:val="24"/>
        </w:rPr>
      </w:pPr>
      <w:r w:rsidRPr="002847E9">
        <w:rPr>
          <w:b/>
          <w:sz w:val="24"/>
          <w:szCs w:val="24"/>
        </w:rPr>
        <w:t>32 Materijalni rashodi</w:t>
      </w:r>
      <w:r w:rsidRPr="002847E9">
        <w:rPr>
          <w:sz w:val="24"/>
          <w:szCs w:val="24"/>
        </w:rPr>
        <w:t xml:space="preserve">  - </w:t>
      </w:r>
      <w:r w:rsidRPr="002847E9">
        <w:rPr>
          <w:bCs/>
          <w:sz w:val="24"/>
          <w:szCs w:val="24"/>
        </w:rPr>
        <w:t>planirana su sredstva za</w:t>
      </w:r>
      <w:r w:rsidRPr="002847E9">
        <w:rPr>
          <w:b/>
          <w:sz w:val="24"/>
          <w:szCs w:val="24"/>
        </w:rPr>
        <w:t xml:space="preserve"> materijalne rashode u 2023. godini </w:t>
      </w:r>
      <w:r w:rsidRPr="002847E9">
        <w:rPr>
          <w:bCs/>
          <w:sz w:val="24"/>
          <w:szCs w:val="24"/>
        </w:rPr>
        <w:t>u iznosu od</w:t>
      </w:r>
      <w:r w:rsidRPr="002847E9">
        <w:rPr>
          <w:b/>
          <w:sz w:val="24"/>
          <w:szCs w:val="24"/>
        </w:rPr>
        <w:t xml:space="preserve"> </w:t>
      </w:r>
      <w:r w:rsidR="001B2B24" w:rsidRPr="002847E9">
        <w:rPr>
          <w:b/>
          <w:sz w:val="24"/>
          <w:szCs w:val="24"/>
        </w:rPr>
        <w:t>1.975.419,00</w:t>
      </w:r>
      <w:r w:rsidRPr="002847E9">
        <w:rPr>
          <w:b/>
          <w:sz w:val="24"/>
          <w:szCs w:val="24"/>
        </w:rPr>
        <w:t xml:space="preserve"> EUR, </w:t>
      </w:r>
      <w:r w:rsidRPr="002847E9">
        <w:rPr>
          <w:sz w:val="24"/>
          <w:szCs w:val="24"/>
        </w:rPr>
        <w:t xml:space="preserve">a izvršeni su u iznosu </w:t>
      </w:r>
      <w:r w:rsidR="001B2B24" w:rsidRPr="002847E9">
        <w:rPr>
          <w:b/>
          <w:bCs/>
          <w:sz w:val="24"/>
          <w:szCs w:val="24"/>
        </w:rPr>
        <w:t>1.779.477,04</w:t>
      </w:r>
      <w:r w:rsidRPr="002847E9">
        <w:rPr>
          <w:b/>
          <w:bCs/>
          <w:sz w:val="24"/>
          <w:szCs w:val="24"/>
        </w:rPr>
        <w:t xml:space="preserve"> EUR</w:t>
      </w:r>
      <w:r w:rsidR="001B2B24" w:rsidRPr="002847E9">
        <w:rPr>
          <w:sz w:val="24"/>
          <w:szCs w:val="24"/>
        </w:rPr>
        <w:t>, odnosno 90,08</w:t>
      </w:r>
      <w:r w:rsidRPr="002847E9">
        <w:rPr>
          <w:sz w:val="24"/>
          <w:szCs w:val="24"/>
        </w:rPr>
        <w:t xml:space="preserve"> % u odnosu na plan, od čega su:</w:t>
      </w:r>
    </w:p>
    <w:p w14:paraId="13456894" w14:textId="29556ABE" w:rsidR="00AA7B1C" w:rsidRPr="002847E9" w:rsidRDefault="00AA7B1C" w:rsidP="00AA7B1C">
      <w:pPr>
        <w:spacing w:after="0"/>
        <w:rPr>
          <w:sz w:val="24"/>
          <w:szCs w:val="24"/>
        </w:rPr>
      </w:pPr>
      <w:r w:rsidRPr="002847E9">
        <w:rPr>
          <w:sz w:val="24"/>
          <w:szCs w:val="24"/>
        </w:rPr>
        <w:t xml:space="preserve">- </w:t>
      </w:r>
      <w:r w:rsidRPr="002847E9">
        <w:rPr>
          <w:b/>
          <w:bCs/>
          <w:iCs/>
          <w:sz w:val="24"/>
          <w:szCs w:val="24"/>
        </w:rPr>
        <w:t>naknade troškova zaposlenima</w:t>
      </w:r>
      <w:r w:rsidRPr="002847E9">
        <w:rPr>
          <w:iCs/>
          <w:sz w:val="24"/>
          <w:szCs w:val="24"/>
        </w:rPr>
        <w:t xml:space="preserve"> </w:t>
      </w:r>
      <w:r w:rsidR="00406F17" w:rsidRPr="002847E9">
        <w:rPr>
          <w:iCs/>
          <w:sz w:val="24"/>
          <w:szCs w:val="24"/>
        </w:rPr>
        <w:t xml:space="preserve">- </w:t>
      </w:r>
      <w:r w:rsidRPr="002847E9">
        <w:rPr>
          <w:iCs/>
          <w:sz w:val="24"/>
          <w:szCs w:val="24"/>
        </w:rPr>
        <w:t xml:space="preserve">planirani su u iznosu </w:t>
      </w:r>
      <w:r w:rsidR="001B2B24" w:rsidRPr="002847E9">
        <w:rPr>
          <w:iCs/>
          <w:sz w:val="24"/>
          <w:szCs w:val="24"/>
        </w:rPr>
        <w:t>133.281,00</w:t>
      </w:r>
      <w:r w:rsidRPr="002847E9">
        <w:rPr>
          <w:iCs/>
          <w:sz w:val="24"/>
          <w:szCs w:val="24"/>
        </w:rPr>
        <w:t xml:space="preserve"> EUR, a izvršena u iznosu </w:t>
      </w:r>
      <w:r w:rsidR="001B2B24" w:rsidRPr="002847E9">
        <w:rPr>
          <w:iCs/>
          <w:sz w:val="24"/>
          <w:szCs w:val="24"/>
        </w:rPr>
        <w:t>133.273,22</w:t>
      </w:r>
      <w:r w:rsidRPr="002847E9">
        <w:rPr>
          <w:iCs/>
          <w:sz w:val="24"/>
          <w:szCs w:val="24"/>
        </w:rPr>
        <w:t xml:space="preserve"> EUR, odnosno izvršena su 99,99 % u odnosu na plan.</w:t>
      </w:r>
      <w:r w:rsidRPr="002847E9">
        <w:rPr>
          <w:sz w:val="24"/>
          <w:szCs w:val="24"/>
        </w:rPr>
        <w:t xml:space="preserve">( prijevoz za okvirno </w:t>
      </w:r>
      <w:r w:rsidR="001B2B24" w:rsidRPr="002847E9">
        <w:rPr>
          <w:sz w:val="24"/>
          <w:szCs w:val="24"/>
        </w:rPr>
        <w:t>196</w:t>
      </w:r>
      <w:r w:rsidRPr="002847E9">
        <w:rPr>
          <w:sz w:val="24"/>
          <w:szCs w:val="24"/>
        </w:rPr>
        <w:t xml:space="preserve"> djelatnika i terenski dodatak ovisno o mjesecu – </w:t>
      </w:r>
      <w:r w:rsidR="00792DAE" w:rsidRPr="002847E9">
        <w:rPr>
          <w:sz w:val="24"/>
          <w:szCs w:val="24"/>
        </w:rPr>
        <w:t>22.832,84</w:t>
      </w:r>
      <w:r w:rsidRPr="002847E9">
        <w:rPr>
          <w:sz w:val="24"/>
          <w:szCs w:val="24"/>
        </w:rPr>
        <w:t xml:space="preserve"> €, službena putovanja </w:t>
      </w:r>
      <w:r w:rsidR="00792DAE" w:rsidRPr="002847E9">
        <w:rPr>
          <w:sz w:val="24"/>
          <w:szCs w:val="24"/>
        </w:rPr>
        <w:t>9.261,18</w:t>
      </w:r>
      <w:r w:rsidRPr="002847E9">
        <w:rPr>
          <w:sz w:val="24"/>
          <w:szCs w:val="24"/>
        </w:rPr>
        <w:t xml:space="preserve"> € i stručno usavršavanje </w:t>
      </w:r>
      <w:r w:rsidR="00792DAE" w:rsidRPr="002847E9">
        <w:rPr>
          <w:sz w:val="24"/>
          <w:szCs w:val="24"/>
        </w:rPr>
        <w:t>71,68</w:t>
      </w:r>
      <w:r w:rsidRPr="002847E9">
        <w:rPr>
          <w:sz w:val="24"/>
          <w:szCs w:val="24"/>
        </w:rPr>
        <w:t xml:space="preserve"> €.)</w:t>
      </w:r>
    </w:p>
    <w:p w14:paraId="68C9A20C" w14:textId="339A3CE7" w:rsidR="00AA7B1C" w:rsidRPr="002847E9" w:rsidRDefault="00AA7B1C" w:rsidP="00AA7B1C">
      <w:pPr>
        <w:spacing w:after="0"/>
        <w:rPr>
          <w:sz w:val="24"/>
          <w:szCs w:val="24"/>
        </w:rPr>
      </w:pPr>
      <w:r w:rsidRPr="002847E9">
        <w:rPr>
          <w:b/>
          <w:bCs/>
          <w:sz w:val="24"/>
          <w:szCs w:val="24"/>
        </w:rPr>
        <w:t xml:space="preserve">- </w:t>
      </w:r>
      <w:r w:rsidRPr="002847E9">
        <w:rPr>
          <w:b/>
          <w:bCs/>
          <w:iCs/>
          <w:sz w:val="24"/>
          <w:szCs w:val="24"/>
        </w:rPr>
        <w:t>rashode za materijal i energiju</w:t>
      </w:r>
      <w:r w:rsidR="00406F17" w:rsidRPr="002847E9">
        <w:rPr>
          <w:b/>
          <w:bCs/>
          <w:iCs/>
          <w:sz w:val="24"/>
          <w:szCs w:val="24"/>
        </w:rPr>
        <w:t xml:space="preserve"> -</w:t>
      </w:r>
      <w:r w:rsidRPr="002847E9">
        <w:rPr>
          <w:iCs/>
          <w:sz w:val="24"/>
          <w:szCs w:val="24"/>
        </w:rPr>
        <w:t xml:space="preserve"> planirani su u iznosu </w:t>
      </w:r>
      <w:r w:rsidR="00792DAE" w:rsidRPr="002847E9">
        <w:rPr>
          <w:iCs/>
          <w:sz w:val="24"/>
          <w:szCs w:val="24"/>
        </w:rPr>
        <w:t>1.481.946,00</w:t>
      </w:r>
      <w:r w:rsidRPr="002847E9">
        <w:rPr>
          <w:sz w:val="24"/>
          <w:szCs w:val="24"/>
        </w:rPr>
        <w:t xml:space="preserve"> EUR, a izvršeni su u iznosu od </w:t>
      </w:r>
      <w:r w:rsidR="00792DAE" w:rsidRPr="002847E9">
        <w:rPr>
          <w:iCs/>
          <w:sz w:val="24"/>
          <w:szCs w:val="24"/>
        </w:rPr>
        <w:t>1.239.162,43</w:t>
      </w:r>
      <w:r w:rsidRPr="002847E9">
        <w:rPr>
          <w:iCs/>
          <w:sz w:val="24"/>
          <w:szCs w:val="24"/>
        </w:rPr>
        <w:t xml:space="preserve"> EUR</w:t>
      </w:r>
      <w:r w:rsidRPr="002847E9">
        <w:rPr>
          <w:sz w:val="24"/>
          <w:szCs w:val="24"/>
        </w:rPr>
        <w:t xml:space="preserve">, odnosno </w:t>
      </w:r>
      <w:r w:rsidR="00792DAE" w:rsidRPr="002847E9">
        <w:rPr>
          <w:sz w:val="24"/>
          <w:szCs w:val="24"/>
        </w:rPr>
        <w:t>83,62</w:t>
      </w:r>
      <w:r w:rsidRPr="002847E9">
        <w:rPr>
          <w:sz w:val="24"/>
          <w:szCs w:val="24"/>
        </w:rPr>
        <w:t xml:space="preserve">% (za uredski materijal, higijenski i potrošni i sl., namirnice, lijekovi za zatvorenike, ostali materijal za redovno poslovanje u iznosu </w:t>
      </w:r>
      <w:r w:rsidR="00792DAE" w:rsidRPr="002847E9">
        <w:rPr>
          <w:sz w:val="24"/>
          <w:szCs w:val="24"/>
        </w:rPr>
        <w:t>786.678,33</w:t>
      </w:r>
      <w:r w:rsidRPr="002847E9">
        <w:rPr>
          <w:sz w:val="24"/>
          <w:szCs w:val="24"/>
        </w:rPr>
        <w:t xml:space="preserve"> EUR, gorivo  i el. energiju </w:t>
      </w:r>
      <w:r w:rsidR="00792DAE" w:rsidRPr="002847E9">
        <w:rPr>
          <w:sz w:val="24"/>
          <w:szCs w:val="24"/>
        </w:rPr>
        <w:t>307.400,48</w:t>
      </w:r>
      <w:r w:rsidRPr="002847E9">
        <w:rPr>
          <w:sz w:val="24"/>
          <w:szCs w:val="24"/>
        </w:rPr>
        <w:t xml:space="preserve"> EUR, materijal za tekuće održavanje zgrada, prijevoznih sredstava </w:t>
      </w:r>
      <w:r w:rsidR="00792DAE" w:rsidRPr="002847E9">
        <w:rPr>
          <w:sz w:val="24"/>
          <w:szCs w:val="24"/>
        </w:rPr>
        <w:t>93.037,02</w:t>
      </w:r>
      <w:r w:rsidRPr="002847E9">
        <w:rPr>
          <w:sz w:val="24"/>
          <w:szCs w:val="24"/>
        </w:rPr>
        <w:t xml:space="preserve"> EUR, sitni inventar i auto gume </w:t>
      </w:r>
      <w:r w:rsidR="00AF2147" w:rsidRPr="002847E9">
        <w:rPr>
          <w:sz w:val="24"/>
          <w:szCs w:val="24"/>
        </w:rPr>
        <w:t>22.165,49</w:t>
      </w:r>
      <w:r w:rsidRPr="002847E9">
        <w:rPr>
          <w:sz w:val="24"/>
          <w:szCs w:val="24"/>
        </w:rPr>
        <w:t xml:space="preserve"> EUR, službena, radna odjeća i obuća </w:t>
      </w:r>
      <w:r w:rsidR="00AF2147" w:rsidRPr="002847E9">
        <w:rPr>
          <w:sz w:val="24"/>
          <w:szCs w:val="24"/>
        </w:rPr>
        <w:t>29.881,11</w:t>
      </w:r>
      <w:r w:rsidRPr="002847E9">
        <w:rPr>
          <w:sz w:val="24"/>
          <w:szCs w:val="24"/>
        </w:rPr>
        <w:t xml:space="preserve"> €)</w:t>
      </w:r>
    </w:p>
    <w:p w14:paraId="1A5A8D9D" w14:textId="1797F3EF" w:rsidR="00AA7B1C" w:rsidRPr="002847E9" w:rsidRDefault="00AA7B1C" w:rsidP="00AA7B1C">
      <w:pPr>
        <w:spacing w:after="0"/>
        <w:rPr>
          <w:sz w:val="24"/>
          <w:szCs w:val="24"/>
        </w:rPr>
      </w:pPr>
      <w:r w:rsidRPr="002847E9">
        <w:rPr>
          <w:b/>
          <w:bCs/>
          <w:iCs/>
          <w:sz w:val="24"/>
          <w:szCs w:val="24"/>
        </w:rPr>
        <w:t>- rashode za usluge</w:t>
      </w:r>
      <w:r w:rsidRPr="002847E9">
        <w:rPr>
          <w:sz w:val="24"/>
          <w:szCs w:val="24"/>
        </w:rPr>
        <w:t xml:space="preserve"> </w:t>
      </w:r>
      <w:r w:rsidR="00406F17" w:rsidRPr="002847E9">
        <w:rPr>
          <w:sz w:val="24"/>
          <w:szCs w:val="24"/>
        </w:rPr>
        <w:t xml:space="preserve">- </w:t>
      </w:r>
      <w:r w:rsidRPr="002847E9">
        <w:rPr>
          <w:iCs/>
          <w:sz w:val="24"/>
          <w:szCs w:val="24"/>
        </w:rPr>
        <w:t xml:space="preserve">planirani su u iznosu </w:t>
      </w:r>
      <w:r w:rsidR="00AF2147" w:rsidRPr="002847E9">
        <w:rPr>
          <w:iCs/>
          <w:sz w:val="24"/>
          <w:szCs w:val="24"/>
        </w:rPr>
        <w:t>253.217,00</w:t>
      </w:r>
      <w:r w:rsidRPr="002847E9">
        <w:rPr>
          <w:sz w:val="24"/>
          <w:szCs w:val="24"/>
        </w:rPr>
        <w:t xml:space="preserve"> EUR, a izvršena su u iznosu od </w:t>
      </w:r>
      <w:r w:rsidR="00AF2147" w:rsidRPr="002847E9">
        <w:rPr>
          <w:iCs/>
          <w:sz w:val="24"/>
          <w:szCs w:val="24"/>
        </w:rPr>
        <w:t>252.800,50</w:t>
      </w:r>
      <w:r w:rsidRPr="002847E9">
        <w:rPr>
          <w:iCs/>
          <w:sz w:val="24"/>
          <w:szCs w:val="24"/>
        </w:rPr>
        <w:t xml:space="preserve"> EUR</w:t>
      </w:r>
      <w:r w:rsidRPr="002847E9">
        <w:rPr>
          <w:sz w:val="24"/>
          <w:szCs w:val="24"/>
        </w:rPr>
        <w:t>, odnosno 99,</w:t>
      </w:r>
      <w:r w:rsidR="00AF2147" w:rsidRPr="002847E9">
        <w:rPr>
          <w:sz w:val="24"/>
          <w:szCs w:val="24"/>
        </w:rPr>
        <w:t>84</w:t>
      </w:r>
      <w:r w:rsidRPr="002847E9">
        <w:rPr>
          <w:sz w:val="24"/>
          <w:szCs w:val="24"/>
        </w:rPr>
        <w:t xml:space="preserve"> % (usluge pošte i telefona </w:t>
      </w:r>
      <w:r w:rsidR="00AF2147" w:rsidRPr="002847E9">
        <w:rPr>
          <w:sz w:val="24"/>
          <w:szCs w:val="24"/>
        </w:rPr>
        <w:t>12.122,02</w:t>
      </w:r>
      <w:r w:rsidRPr="002847E9">
        <w:rPr>
          <w:sz w:val="24"/>
          <w:szCs w:val="24"/>
        </w:rPr>
        <w:t xml:space="preserve"> EUR, usluge održavanja postrojenja, opreme, vozila </w:t>
      </w:r>
      <w:r w:rsidR="00AF2147" w:rsidRPr="002847E9">
        <w:rPr>
          <w:sz w:val="24"/>
          <w:szCs w:val="24"/>
        </w:rPr>
        <w:t>338.562,32</w:t>
      </w:r>
      <w:r w:rsidRPr="002847E9">
        <w:rPr>
          <w:sz w:val="24"/>
          <w:szCs w:val="24"/>
        </w:rPr>
        <w:t xml:space="preserve"> EUR, objave u narodnim novinama </w:t>
      </w:r>
      <w:r w:rsidR="00AF2147" w:rsidRPr="002847E9">
        <w:rPr>
          <w:sz w:val="24"/>
          <w:szCs w:val="24"/>
        </w:rPr>
        <w:t>6.321,74</w:t>
      </w:r>
      <w:r w:rsidRPr="002847E9">
        <w:rPr>
          <w:sz w:val="24"/>
          <w:szCs w:val="24"/>
        </w:rPr>
        <w:t xml:space="preserve"> EUR, voda, odvoz smeća i komunalne naknade </w:t>
      </w:r>
      <w:r w:rsidR="00AF2147" w:rsidRPr="002847E9">
        <w:rPr>
          <w:sz w:val="24"/>
          <w:szCs w:val="24"/>
        </w:rPr>
        <w:t>121.215,55</w:t>
      </w:r>
      <w:r w:rsidRPr="002847E9">
        <w:rPr>
          <w:sz w:val="24"/>
          <w:szCs w:val="24"/>
        </w:rPr>
        <w:t xml:space="preserve"> EUR, zakupnine i najamnine su u iznosu </w:t>
      </w:r>
      <w:r w:rsidR="00AF2147" w:rsidRPr="002847E9">
        <w:rPr>
          <w:sz w:val="24"/>
          <w:szCs w:val="24"/>
        </w:rPr>
        <w:t>5.053,27</w:t>
      </w:r>
      <w:r w:rsidRPr="002847E9">
        <w:rPr>
          <w:sz w:val="24"/>
          <w:szCs w:val="24"/>
        </w:rPr>
        <w:t xml:space="preserve"> </w:t>
      </w:r>
      <w:r w:rsidR="00AF2147" w:rsidRPr="002847E9">
        <w:rPr>
          <w:sz w:val="24"/>
          <w:szCs w:val="24"/>
        </w:rPr>
        <w:t xml:space="preserve">EUR, </w:t>
      </w:r>
      <w:r w:rsidRPr="002847E9">
        <w:rPr>
          <w:sz w:val="24"/>
          <w:szCs w:val="24"/>
        </w:rPr>
        <w:t xml:space="preserve">zdravstvene usluge </w:t>
      </w:r>
      <w:r w:rsidR="00AF2147" w:rsidRPr="002847E9">
        <w:rPr>
          <w:sz w:val="24"/>
          <w:szCs w:val="24"/>
        </w:rPr>
        <w:t>37.524,53</w:t>
      </w:r>
      <w:r w:rsidRPr="002847E9">
        <w:rPr>
          <w:sz w:val="24"/>
          <w:szCs w:val="24"/>
        </w:rPr>
        <w:t xml:space="preserve"> EUR, ugovori o djelu za </w:t>
      </w:r>
      <w:r w:rsidR="00AF2147" w:rsidRPr="002847E9">
        <w:rPr>
          <w:sz w:val="24"/>
          <w:szCs w:val="24"/>
        </w:rPr>
        <w:t>zubara</w:t>
      </w:r>
      <w:r w:rsidRPr="002847E9">
        <w:rPr>
          <w:sz w:val="24"/>
          <w:szCs w:val="24"/>
        </w:rPr>
        <w:t xml:space="preserve"> </w:t>
      </w:r>
      <w:r w:rsidR="00AF2147" w:rsidRPr="002847E9">
        <w:rPr>
          <w:sz w:val="24"/>
          <w:szCs w:val="24"/>
        </w:rPr>
        <w:t>7.260,84</w:t>
      </w:r>
      <w:r w:rsidRPr="002847E9">
        <w:rPr>
          <w:sz w:val="24"/>
          <w:szCs w:val="24"/>
        </w:rPr>
        <w:t xml:space="preserve"> EUR, , </w:t>
      </w:r>
      <w:r w:rsidRPr="002847E9">
        <w:rPr>
          <w:sz w:val="24"/>
          <w:szCs w:val="24"/>
        </w:rPr>
        <w:lastRenderedPageBreak/>
        <w:t xml:space="preserve">ostale usluge vezane za redovno poslovanje </w:t>
      </w:r>
      <w:r w:rsidR="00AF2147" w:rsidRPr="002847E9">
        <w:rPr>
          <w:sz w:val="24"/>
          <w:szCs w:val="24"/>
        </w:rPr>
        <w:t>24.740,23</w:t>
      </w:r>
      <w:r w:rsidRPr="002847E9">
        <w:rPr>
          <w:sz w:val="24"/>
          <w:szCs w:val="24"/>
        </w:rPr>
        <w:t xml:space="preserve"> EUR a odnose se na usluge izrade na uslužno klanje </w:t>
      </w:r>
      <w:r w:rsidR="00406F17" w:rsidRPr="002847E9">
        <w:rPr>
          <w:sz w:val="24"/>
          <w:szCs w:val="24"/>
        </w:rPr>
        <w:t>i vaganje</w:t>
      </w:r>
      <w:r w:rsidRPr="002847E9">
        <w:rPr>
          <w:sz w:val="24"/>
          <w:szCs w:val="24"/>
        </w:rPr>
        <w:t xml:space="preserve">, usluga registracije vozila </w:t>
      </w:r>
      <w:r w:rsidR="00406F17" w:rsidRPr="002847E9">
        <w:rPr>
          <w:sz w:val="24"/>
          <w:szCs w:val="24"/>
        </w:rPr>
        <w:t>–</w:t>
      </w:r>
      <w:r w:rsidRPr="002847E9">
        <w:rPr>
          <w:sz w:val="24"/>
          <w:szCs w:val="24"/>
        </w:rPr>
        <w:t xml:space="preserve"> CVH</w:t>
      </w:r>
      <w:r w:rsidR="00406F17" w:rsidRPr="002847E9">
        <w:rPr>
          <w:sz w:val="24"/>
          <w:szCs w:val="24"/>
        </w:rPr>
        <w:t>, korištenje e-servisa)</w:t>
      </w:r>
    </w:p>
    <w:p w14:paraId="1EF77F0D" w14:textId="16D481EB" w:rsidR="00AA7B1C" w:rsidRPr="002847E9" w:rsidRDefault="00AA7B1C" w:rsidP="00AA7B1C">
      <w:pPr>
        <w:spacing w:after="0"/>
        <w:rPr>
          <w:sz w:val="24"/>
          <w:szCs w:val="24"/>
        </w:rPr>
      </w:pPr>
      <w:r w:rsidRPr="002847E9">
        <w:rPr>
          <w:b/>
          <w:bCs/>
          <w:iCs/>
          <w:sz w:val="24"/>
          <w:szCs w:val="24"/>
        </w:rPr>
        <w:t xml:space="preserve">-ostale nespomenute rashode </w:t>
      </w:r>
      <w:r w:rsidRPr="002847E9">
        <w:rPr>
          <w:iCs/>
          <w:sz w:val="24"/>
          <w:szCs w:val="24"/>
        </w:rPr>
        <w:t xml:space="preserve">planirani su u iznosu </w:t>
      </w:r>
      <w:r w:rsidR="00406F17" w:rsidRPr="002847E9">
        <w:rPr>
          <w:iCs/>
          <w:sz w:val="24"/>
          <w:szCs w:val="24"/>
        </w:rPr>
        <w:t>106.975</w:t>
      </w:r>
      <w:r w:rsidRPr="002847E9">
        <w:rPr>
          <w:iCs/>
          <w:sz w:val="24"/>
          <w:szCs w:val="24"/>
        </w:rPr>
        <w:t>,00</w:t>
      </w:r>
      <w:r w:rsidRPr="002847E9">
        <w:rPr>
          <w:sz w:val="24"/>
          <w:szCs w:val="24"/>
        </w:rPr>
        <w:t xml:space="preserve"> EUR, a izvršeni su u iznosu od </w:t>
      </w:r>
      <w:r w:rsidR="00406F17" w:rsidRPr="002847E9">
        <w:rPr>
          <w:iCs/>
          <w:sz w:val="24"/>
          <w:szCs w:val="24"/>
        </w:rPr>
        <w:t>154.240,89</w:t>
      </w:r>
      <w:r w:rsidRPr="002847E9">
        <w:rPr>
          <w:iCs/>
          <w:sz w:val="24"/>
          <w:szCs w:val="24"/>
        </w:rPr>
        <w:t xml:space="preserve"> EUR</w:t>
      </w:r>
      <w:r w:rsidRPr="002847E9">
        <w:rPr>
          <w:sz w:val="24"/>
          <w:szCs w:val="24"/>
        </w:rPr>
        <w:t xml:space="preserve">, odnosno </w:t>
      </w:r>
      <w:r w:rsidR="00406F17" w:rsidRPr="002847E9">
        <w:rPr>
          <w:sz w:val="24"/>
          <w:szCs w:val="24"/>
        </w:rPr>
        <w:t>144,18</w:t>
      </w:r>
      <w:r w:rsidRPr="002847E9">
        <w:rPr>
          <w:sz w:val="24"/>
          <w:szCs w:val="24"/>
        </w:rPr>
        <w:t xml:space="preserve"> %</w:t>
      </w:r>
      <w:r w:rsidRPr="002847E9">
        <w:rPr>
          <w:b/>
          <w:bCs/>
          <w:iCs/>
          <w:sz w:val="24"/>
          <w:szCs w:val="24"/>
        </w:rPr>
        <w:t xml:space="preserve"> (</w:t>
      </w:r>
      <w:r w:rsidRPr="002847E9">
        <w:rPr>
          <w:sz w:val="24"/>
          <w:szCs w:val="24"/>
        </w:rPr>
        <w:t xml:space="preserve">za naknade za rad zatvorenika </w:t>
      </w:r>
      <w:r w:rsidR="00406F17" w:rsidRPr="002847E9">
        <w:rPr>
          <w:sz w:val="24"/>
          <w:szCs w:val="24"/>
        </w:rPr>
        <w:t>147.364,08</w:t>
      </w:r>
      <w:r w:rsidRPr="002847E9">
        <w:rPr>
          <w:sz w:val="24"/>
          <w:szCs w:val="24"/>
        </w:rPr>
        <w:t xml:space="preserve"> EUR, zbog većeg broja radno angažiranih zatvorenika,  osiguranje prijevoznih sredstava </w:t>
      </w:r>
      <w:r w:rsidR="00406F17" w:rsidRPr="002847E9">
        <w:rPr>
          <w:sz w:val="24"/>
          <w:szCs w:val="24"/>
        </w:rPr>
        <w:t>3.505,81</w:t>
      </w:r>
      <w:r w:rsidRPr="002847E9">
        <w:rPr>
          <w:sz w:val="24"/>
          <w:szCs w:val="24"/>
        </w:rPr>
        <w:t xml:space="preserve"> EUR zbog većeg broja vozila</w:t>
      </w:r>
      <w:r w:rsidR="00406F17" w:rsidRPr="002847E9">
        <w:rPr>
          <w:sz w:val="24"/>
          <w:szCs w:val="24"/>
        </w:rPr>
        <w:t>,</w:t>
      </w:r>
      <w:r w:rsidRPr="002847E9">
        <w:rPr>
          <w:sz w:val="24"/>
          <w:szCs w:val="24"/>
        </w:rPr>
        <w:t xml:space="preserve"> putne troškove zatvorenika</w:t>
      </w:r>
      <w:r w:rsidR="00406F17" w:rsidRPr="002847E9">
        <w:rPr>
          <w:sz w:val="24"/>
          <w:szCs w:val="24"/>
        </w:rPr>
        <w:t>, HRT pristojba, provjere vjerodostojnosti diploma i sl. u iznosu</w:t>
      </w:r>
      <w:r w:rsidRPr="002847E9">
        <w:rPr>
          <w:sz w:val="24"/>
          <w:szCs w:val="24"/>
        </w:rPr>
        <w:t xml:space="preserve"> </w:t>
      </w:r>
      <w:r w:rsidR="00406F17" w:rsidRPr="002847E9">
        <w:rPr>
          <w:sz w:val="24"/>
          <w:szCs w:val="24"/>
        </w:rPr>
        <w:t>3.371,00</w:t>
      </w:r>
      <w:r w:rsidRPr="002847E9">
        <w:rPr>
          <w:sz w:val="24"/>
          <w:szCs w:val="24"/>
        </w:rPr>
        <w:t xml:space="preserve"> EUR)</w:t>
      </w:r>
    </w:p>
    <w:p w14:paraId="17D1E659" w14:textId="77777777" w:rsidR="00AA7B1C" w:rsidRPr="002847E9" w:rsidRDefault="00AA7B1C" w:rsidP="00AA7B1C">
      <w:pPr>
        <w:spacing w:after="0"/>
        <w:rPr>
          <w:sz w:val="24"/>
          <w:szCs w:val="24"/>
        </w:rPr>
      </w:pPr>
    </w:p>
    <w:p w14:paraId="14D458E0" w14:textId="31E40818" w:rsidR="00AA7B1C" w:rsidRPr="002847E9" w:rsidRDefault="00406F17" w:rsidP="00AA7B1C">
      <w:pPr>
        <w:spacing w:after="0"/>
        <w:rPr>
          <w:sz w:val="24"/>
          <w:szCs w:val="24"/>
        </w:rPr>
      </w:pPr>
      <w:r w:rsidRPr="002847E9">
        <w:rPr>
          <w:b/>
          <w:sz w:val="24"/>
          <w:szCs w:val="24"/>
        </w:rPr>
        <w:t xml:space="preserve">34 Financijski rashodi </w:t>
      </w:r>
      <w:r w:rsidR="00AA7B1C" w:rsidRPr="002847E9">
        <w:rPr>
          <w:sz w:val="24"/>
          <w:szCs w:val="24"/>
        </w:rPr>
        <w:t xml:space="preserve">- </w:t>
      </w:r>
      <w:r w:rsidR="00AA7B1C" w:rsidRPr="002847E9">
        <w:rPr>
          <w:iCs/>
          <w:sz w:val="24"/>
          <w:szCs w:val="24"/>
        </w:rPr>
        <w:t xml:space="preserve">planirani su u iznosu </w:t>
      </w:r>
      <w:r w:rsidRPr="002847E9">
        <w:rPr>
          <w:iCs/>
          <w:sz w:val="24"/>
          <w:szCs w:val="24"/>
        </w:rPr>
        <w:t>1.675,00</w:t>
      </w:r>
      <w:r w:rsidR="00AA7B1C" w:rsidRPr="002847E9">
        <w:rPr>
          <w:iCs/>
          <w:sz w:val="24"/>
          <w:szCs w:val="24"/>
        </w:rPr>
        <w:t>,00</w:t>
      </w:r>
      <w:r w:rsidR="00AA7B1C" w:rsidRPr="002847E9">
        <w:rPr>
          <w:sz w:val="24"/>
          <w:szCs w:val="24"/>
        </w:rPr>
        <w:t xml:space="preserve"> EUR, a izvršeni su u iznosu od </w:t>
      </w:r>
      <w:r w:rsidRPr="002847E9">
        <w:rPr>
          <w:iCs/>
          <w:sz w:val="24"/>
          <w:szCs w:val="24"/>
        </w:rPr>
        <w:t>1.010,81</w:t>
      </w:r>
      <w:r w:rsidR="00AA7B1C" w:rsidRPr="002847E9">
        <w:rPr>
          <w:iCs/>
          <w:sz w:val="24"/>
          <w:szCs w:val="24"/>
        </w:rPr>
        <w:t xml:space="preserve"> EUR</w:t>
      </w:r>
      <w:r w:rsidR="00AA7B1C" w:rsidRPr="002847E9">
        <w:rPr>
          <w:sz w:val="24"/>
          <w:szCs w:val="24"/>
        </w:rPr>
        <w:t xml:space="preserve">, odnosno </w:t>
      </w:r>
      <w:r w:rsidRPr="002847E9">
        <w:rPr>
          <w:sz w:val="24"/>
          <w:szCs w:val="24"/>
        </w:rPr>
        <w:t>60,35</w:t>
      </w:r>
      <w:r w:rsidR="00AA7B1C" w:rsidRPr="002847E9">
        <w:rPr>
          <w:sz w:val="24"/>
          <w:szCs w:val="24"/>
        </w:rPr>
        <w:t xml:space="preserve"> % , kamate za primljene zajmove od trgovačkih društava i obrtnika izvan javnog sektora planirani su u iznosu </w:t>
      </w:r>
      <w:r w:rsidRPr="002847E9">
        <w:rPr>
          <w:sz w:val="24"/>
          <w:szCs w:val="24"/>
        </w:rPr>
        <w:t>664,00</w:t>
      </w:r>
      <w:r w:rsidR="00AA7B1C" w:rsidRPr="002847E9">
        <w:rPr>
          <w:sz w:val="24"/>
          <w:szCs w:val="24"/>
        </w:rPr>
        <w:t xml:space="preserve"> EUR, ali nije bilo izvršenja na navedenoj stavci, bankarske usluge i usluge platnog prometa planirani su u iznosu </w:t>
      </w:r>
      <w:r w:rsidRPr="002847E9">
        <w:rPr>
          <w:sz w:val="24"/>
          <w:szCs w:val="24"/>
        </w:rPr>
        <w:t>1.011</w:t>
      </w:r>
      <w:r w:rsidR="00AA7B1C" w:rsidRPr="002847E9">
        <w:rPr>
          <w:sz w:val="24"/>
          <w:szCs w:val="24"/>
        </w:rPr>
        <w:t xml:space="preserve">,00 EUR i planirana sredstva su izvršena u </w:t>
      </w:r>
      <w:r w:rsidRPr="002847E9">
        <w:rPr>
          <w:sz w:val="24"/>
          <w:szCs w:val="24"/>
        </w:rPr>
        <w:t>99,98 %</w:t>
      </w:r>
      <w:r w:rsidR="00AA7B1C" w:rsidRPr="002847E9">
        <w:rPr>
          <w:sz w:val="24"/>
          <w:szCs w:val="24"/>
        </w:rPr>
        <w:t>.</w:t>
      </w:r>
    </w:p>
    <w:p w14:paraId="316257D3" w14:textId="77777777" w:rsidR="00AA7B1C" w:rsidRPr="002847E9" w:rsidRDefault="00AA7B1C" w:rsidP="00AA7B1C">
      <w:pPr>
        <w:spacing w:after="0"/>
        <w:rPr>
          <w:b/>
          <w:bCs/>
          <w:iCs/>
          <w:sz w:val="24"/>
          <w:szCs w:val="24"/>
        </w:rPr>
      </w:pPr>
    </w:p>
    <w:p w14:paraId="5E8E2EAD" w14:textId="67749F53" w:rsidR="00AA7B1C" w:rsidRPr="00EB77AD" w:rsidRDefault="00AA7B1C" w:rsidP="00AA7B1C">
      <w:pPr>
        <w:spacing w:after="0"/>
        <w:rPr>
          <w:b/>
          <w:bCs/>
          <w:iCs/>
          <w:sz w:val="24"/>
          <w:szCs w:val="24"/>
        </w:rPr>
      </w:pPr>
      <w:r w:rsidRPr="002847E9">
        <w:rPr>
          <w:b/>
          <w:sz w:val="24"/>
          <w:szCs w:val="24"/>
        </w:rPr>
        <w:t>42 Rashodi za nabavu proizvedene dugotrajne imovine</w:t>
      </w:r>
      <w:r w:rsidR="00EB77AD">
        <w:rPr>
          <w:b/>
          <w:sz w:val="24"/>
          <w:szCs w:val="24"/>
        </w:rPr>
        <w:t xml:space="preserve"> -</w:t>
      </w:r>
      <w:r w:rsidRPr="002847E9">
        <w:rPr>
          <w:sz w:val="24"/>
          <w:szCs w:val="24"/>
        </w:rPr>
        <w:t xml:space="preserve"> </w:t>
      </w:r>
      <w:r w:rsidRPr="002847E9">
        <w:rPr>
          <w:iCs/>
          <w:sz w:val="24"/>
          <w:szCs w:val="24"/>
        </w:rPr>
        <w:t xml:space="preserve">planirani su u iznosu </w:t>
      </w:r>
      <w:r w:rsidR="00406F17" w:rsidRPr="002847E9">
        <w:rPr>
          <w:iCs/>
          <w:sz w:val="24"/>
          <w:szCs w:val="24"/>
        </w:rPr>
        <w:t>336.050</w:t>
      </w:r>
      <w:r w:rsidRPr="002847E9">
        <w:rPr>
          <w:iCs/>
          <w:sz w:val="24"/>
          <w:szCs w:val="24"/>
        </w:rPr>
        <w:t>,00</w:t>
      </w:r>
      <w:r w:rsidRPr="002847E9">
        <w:rPr>
          <w:sz w:val="24"/>
          <w:szCs w:val="24"/>
        </w:rPr>
        <w:t xml:space="preserve"> EUR, a izvršeni su u iznosu od </w:t>
      </w:r>
      <w:r w:rsidR="00406F17" w:rsidRPr="002847E9">
        <w:rPr>
          <w:iCs/>
          <w:sz w:val="24"/>
          <w:szCs w:val="24"/>
        </w:rPr>
        <w:t>335.636,29</w:t>
      </w:r>
      <w:r w:rsidRPr="002847E9">
        <w:rPr>
          <w:iCs/>
          <w:sz w:val="24"/>
          <w:szCs w:val="24"/>
        </w:rPr>
        <w:t xml:space="preserve"> EUR</w:t>
      </w:r>
      <w:r w:rsidR="00406F17" w:rsidRPr="002847E9">
        <w:rPr>
          <w:sz w:val="24"/>
          <w:szCs w:val="24"/>
        </w:rPr>
        <w:t>, odnosno 99,88</w:t>
      </w:r>
      <w:r w:rsidRPr="002847E9">
        <w:rPr>
          <w:sz w:val="24"/>
          <w:szCs w:val="24"/>
        </w:rPr>
        <w:t xml:space="preserve"> % (za najnužniju opremu:</w:t>
      </w:r>
      <w:r w:rsidR="00406F17" w:rsidRPr="002847E9">
        <w:rPr>
          <w:sz w:val="24"/>
          <w:szCs w:val="24"/>
        </w:rPr>
        <w:t xml:space="preserve"> uredski namještaj i kreveti za zatvorenike,</w:t>
      </w:r>
      <w:r w:rsidR="0064430F" w:rsidRPr="002847E9">
        <w:rPr>
          <w:sz w:val="24"/>
          <w:szCs w:val="24"/>
        </w:rPr>
        <w:t xml:space="preserve"> tv prijemnici, trimer, medicinska kolica, perilice, termos lonci, parne postaje, bušilice, stroj za varenje, uređaji za prevođenje, ravnalica-</w:t>
      </w:r>
      <w:proofErr w:type="spellStart"/>
      <w:r w:rsidR="0064430F" w:rsidRPr="002847E9">
        <w:rPr>
          <w:sz w:val="24"/>
          <w:szCs w:val="24"/>
        </w:rPr>
        <w:t>debljača</w:t>
      </w:r>
      <w:proofErr w:type="spellEnd"/>
      <w:r w:rsidR="0064430F" w:rsidRPr="002847E9">
        <w:rPr>
          <w:sz w:val="24"/>
          <w:szCs w:val="24"/>
        </w:rPr>
        <w:t xml:space="preserve">, brusilica, </w:t>
      </w:r>
      <w:proofErr w:type="spellStart"/>
      <w:r w:rsidR="0064430F" w:rsidRPr="002847E9">
        <w:rPr>
          <w:sz w:val="24"/>
          <w:szCs w:val="24"/>
        </w:rPr>
        <w:t>aku</w:t>
      </w:r>
      <w:proofErr w:type="spellEnd"/>
      <w:r w:rsidR="0064430F" w:rsidRPr="002847E9">
        <w:rPr>
          <w:sz w:val="24"/>
          <w:szCs w:val="24"/>
        </w:rPr>
        <w:t xml:space="preserve"> set,  vozilo Škoda </w:t>
      </w:r>
      <w:proofErr w:type="spellStart"/>
      <w:r w:rsidR="0064430F" w:rsidRPr="002847E9">
        <w:rPr>
          <w:sz w:val="24"/>
          <w:szCs w:val="24"/>
        </w:rPr>
        <w:t>Octavia</w:t>
      </w:r>
      <w:proofErr w:type="spellEnd"/>
      <w:r w:rsidR="0064430F" w:rsidRPr="002847E9">
        <w:rPr>
          <w:sz w:val="24"/>
          <w:szCs w:val="24"/>
        </w:rPr>
        <w:t>, disk kosilica, kombajn za krumpir, plug, sijačica, teška drljača, podrivač, prednji utovarivač za traktor, hidrolift, prskalica, pumpa i cisterna)</w:t>
      </w:r>
    </w:p>
    <w:p w14:paraId="0FA184DB" w14:textId="4F7D4287" w:rsidR="00AA7B1C" w:rsidRPr="002847E9" w:rsidRDefault="00AA7B1C" w:rsidP="00AA7B1C">
      <w:pPr>
        <w:spacing w:after="0"/>
        <w:rPr>
          <w:sz w:val="24"/>
          <w:szCs w:val="24"/>
        </w:rPr>
      </w:pPr>
    </w:p>
    <w:p w14:paraId="0BCABA34" w14:textId="13EBBBBE" w:rsidR="0064430F" w:rsidRPr="002847E9" w:rsidRDefault="0064430F" w:rsidP="0064430F">
      <w:pPr>
        <w:spacing w:after="0"/>
        <w:rPr>
          <w:sz w:val="24"/>
          <w:szCs w:val="24"/>
        </w:rPr>
      </w:pPr>
      <w:r w:rsidRPr="002847E9">
        <w:rPr>
          <w:b/>
          <w:sz w:val="24"/>
          <w:szCs w:val="24"/>
        </w:rPr>
        <w:t>45 Rashodi za dodatna ulaganja na nefinancijskoj imovini</w:t>
      </w:r>
      <w:r w:rsidRPr="002847E9">
        <w:rPr>
          <w:sz w:val="24"/>
          <w:szCs w:val="24"/>
        </w:rPr>
        <w:t xml:space="preserve"> – </w:t>
      </w:r>
      <w:r w:rsidRPr="002847E9">
        <w:rPr>
          <w:iCs/>
          <w:sz w:val="24"/>
          <w:szCs w:val="24"/>
        </w:rPr>
        <w:t>planirani su u iznosu 810.612,00</w:t>
      </w:r>
      <w:r w:rsidRPr="002847E9">
        <w:rPr>
          <w:sz w:val="24"/>
          <w:szCs w:val="24"/>
        </w:rPr>
        <w:t xml:space="preserve"> EUR, a izvršeni su u iznosu od </w:t>
      </w:r>
      <w:r w:rsidRPr="002847E9">
        <w:rPr>
          <w:iCs/>
          <w:sz w:val="24"/>
          <w:szCs w:val="24"/>
        </w:rPr>
        <w:t>810.611,40 EUR</w:t>
      </w:r>
      <w:r w:rsidRPr="002847E9">
        <w:rPr>
          <w:sz w:val="24"/>
          <w:szCs w:val="24"/>
        </w:rPr>
        <w:t>, odnosno 100,00 % (adaptacija zgrade zatvorenog odjela za zatvorenice, izmjenu stolarije na zgradi centralne kuhinje, izrada projektne dokumentacije za legalizaciju objekata, radovi izrade spuštenih stropova u zgradama za zatvorenice te izrada vatrodojavnog sustava).</w:t>
      </w:r>
    </w:p>
    <w:p w14:paraId="136E2357" w14:textId="034E8279" w:rsidR="0064430F" w:rsidRPr="002847E9" w:rsidRDefault="0064430F" w:rsidP="00AA7B1C">
      <w:pPr>
        <w:spacing w:after="0"/>
        <w:rPr>
          <w:sz w:val="24"/>
          <w:szCs w:val="24"/>
        </w:rPr>
      </w:pPr>
    </w:p>
    <w:p w14:paraId="42728F83" w14:textId="71B2CC49" w:rsidR="00AA7B1C" w:rsidRPr="002847E9" w:rsidRDefault="003373FB" w:rsidP="00AA7B1C">
      <w:pPr>
        <w:spacing w:after="0"/>
        <w:rPr>
          <w:sz w:val="24"/>
          <w:szCs w:val="24"/>
        </w:rPr>
      </w:pPr>
      <w:r w:rsidRPr="002847E9">
        <w:rPr>
          <w:sz w:val="24"/>
          <w:szCs w:val="24"/>
        </w:rPr>
        <w:t xml:space="preserve">Izvor 41 </w:t>
      </w:r>
    </w:p>
    <w:p w14:paraId="7A9E4532" w14:textId="77777777" w:rsidR="003373FB" w:rsidRPr="002847E9" w:rsidRDefault="003373FB" w:rsidP="00AA7B1C">
      <w:pPr>
        <w:spacing w:after="0"/>
        <w:rPr>
          <w:b/>
          <w:sz w:val="24"/>
          <w:szCs w:val="24"/>
        </w:rPr>
      </w:pPr>
    </w:p>
    <w:p w14:paraId="1D80C387" w14:textId="7D69BBBF" w:rsidR="002847E9" w:rsidRPr="002847E9" w:rsidRDefault="00AA7B1C" w:rsidP="002847E9">
      <w:pPr>
        <w:spacing w:after="0"/>
        <w:rPr>
          <w:sz w:val="24"/>
          <w:szCs w:val="24"/>
        </w:rPr>
      </w:pPr>
      <w:r w:rsidRPr="002847E9">
        <w:rPr>
          <w:b/>
          <w:sz w:val="24"/>
          <w:szCs w:val="24"/>
        </w:rPr>
        <w:t>38 Ostali rashodi</w:t>
      </w:r>
      <w:r w:rsidRPr="002847E9">
        <w:rPr>
          <w:sz w:val="24"/>
          <w:szCs w:val="24"/>
        </w:rPr>
        <w:t xml:space="preserve"> – </w:t>
      </w:r>
      <w:r w:rsidRPr="002847E9">
        <w:rPr>
          <w:iCs/>
          <w:sz w:val="24"/>
          <w:szCs w:val="24"/>
        </w:rPr>
        <w:t xml:space="preserve">planirani su u iznosu </w:t>
      </w:r>
      <w:r w:rsidR="003373FB" w:rsidRPr="002847E9">
        <w:rPr>
          <w:iCs/>
          <w:sz w:val="24"/>
          <w:szCs w:val="24"/>
        </w:rPr>
        <w:t>75.545,00</w:t>
      </w:r>
      <w:r w:rsidRPr="002847E9">
        <w:rPr>
          <w:sz w:val="24"/>
          <w:szCs w:val="24"/>
        </w:rPr>
        <w:t xml:space="preserve"> EUR, a izvršeni su u iznosu od </w:t>
      </w:r>
      <w:r w:rsidR="003373FB" w:rsidRPr="002847E9">
        <w:rPr>
          <w:iCs/>
          <w:sz w:val="24"/>
          <w:szCs w:val="24"/>
        </w:rPr>
        <w:t>60.569,34</w:t>
      </w:r>
      <w:r w:rsidRPr="002847E9">
        <w:rPr>
          <w:iCs/>
          <w:sz w:val="24"/>
          <w:szCs w:val="24"/>
        </w:rPr>
        <w:t xml:space="preserve"> EUR</w:t>
      </w:r>
      <w:r w:rsidRPr="002847E9">
        <w:rPr>
          <w:sz w:val="24"/>
          <w:szCs w:val="24"/>
        </w:rPr>
        <w:t xml:space="preserve">, odnosno </w:t>
      </w:r>
      <w:r w:rsidR="003373FB" w:rsidRPr="002847E9">
        <w:rPr>
          <w:sz w:val="24"/>
          <w:szCs w:val="24"/>
        </w:rPr>
        <w:t>80,18</w:t>
      </w:r>
      <w:r w:rsidRPr="002847E9">
        <w:rPr>
          <w:sz w:val="24"/>
          <w:szCs w:val="24"/>
        </w:rPr>
        <w:t xml:space="preserve"> % u odnosu na plan, a odnose se </w:t>
      </w:r>
      <w:r w:rsidR="003373FB" w:rsidRPr="002847E9">
        <w:rPr>
          <w:bCs/>
          <w:sz w:val="24"/>
          <w:szCs w:val="24"/>
        </w:rPr>
        <w:t xml:space="preserve">evidentirane tekuće donacije iz lutrijskih sredstava sukladno odluci Vlade RH, a radi </w:t>
      </w:r>
      <w:r w:rsidR="003373FB" w:rsidRPr="002847E9">
        <w:rPr>
          <w:sz w:val="24"/>
          <w:szCs w:val="24"/>
        </w:rPr>
        <w:t>isplate Udrugama usmjerenih pružanju potpore prema sklopljenim ugovorima za provedbu odobrenih program</w:t>
      </w:r>
      <w:r w:rsidR="002847E9" w:rsidRPr="002847E9">
        <w:rPr>
          <w:sz w:val="24"/>
          <w:szCs w:val="24"/>
        </w:rPr>
        <w:t>a Udruge za Prevencije Ovisnosti, Udruge Skribonauti, Udruge Pčelara „Pčelinjak“ te Udr</w:t>
      </w:r>
      <w:r w:rsidR="007330EB">
        <w:rPr>
          <w:sz w:val="24"/>
          <w:szCs w:val="24"/>
        </w:rPr>
        <w:t>uge društva likovnih umjetnika.</w:t>
      </w:r>
    </w:p>
    <w:p w14:paraId="7056BA73" w14:textId="52262C5D" w:rsidR="003373FB" w:rsidRDefault="003373FB" w:rsidP="003373FB">
      <w:pPr>
        <w:spacing w:after="0"/>
        <w:rPr>
          <w:sz w:val="24"/>
          <w:szCs w:val="24"/>
        </w:rPr>
      </w:pPr>
    </w:p>
    <w:p w14:paraId="5419B60A" w14:textId="402F4429" w:rsidR="00AA7B1C" w:rsidRDefault="00AA7B1C" w:rsidP="00CC530A">
      <w:pPr>
        <w:spacing w:after="0"/>
        <w:rPr>
          <w:b/>
          <w:szCs w:val="22"/>
        </w:rPr>
      </w:pPr>
    </w:p>
    <w:p w14:paraId="7CA75A74" w14:textId="08CE4337" w:rsidR="006F1566" w:rsidRPr="00F0265C" w:rsidRDefault="006F1566" w:rsidP="006F1566">
      <w:pPr>
        <w:rPr>
          <w:b/>
          <w:bCs/>
          <w:sz w:val="24"/>
          <w:szCs w:val="24"/>
        </w:rPr>
      </w:pPr>
      <w:r w:rsidRPr="00F0265C">
        <w:rPr>
          <w:b/>
          <w:bCs/>
          <w:sz w:val="24"/>
          <w:szCs w:val="24"/>
        </w:rPr>
        <w:t>A630113 IZVRŠAVANJE KAZNE ZATVORA, MJERE PRITVORA I ODGOJNE MJERE (IZ EVIDENCIJSKIH PRIHODA)</w:t>
      </w:r>
    </w:p>
    <w:p w14:paraId="7685F828" w14:textId="0C8E0654" w:rsidR="006F1566" w:rsidRPr="00C41928" w:rsidRDefault="006F1566" w:rsidP="006F1566">
      <w:pPr>
        <w:rPr>
          <w:szCs w:val="22"/>
        </w:rPr>
      </w:pPr>
    </w:p>
    <w:tbl>
      <w:tblPr>
        <w:tblStyle w:val="StilTablice"/>
        <w:tblW w:w="9150" w:type="dxa"/>
        <w:jc w:val="center"/>
        <w:tblLook w:val="04A0" w:firstRow="1" w:lastRow="0" w:firstColumn="1" w:lastColumn="0" w:noHBand="0" w:noVBand="1"/>
      </w:tblPr>
      <w:tblGrid>
        <w:gridCol w:w="1460"/>
        <w:gridCol w:w="1544"/>
        <w:gridCol w:w="1511"/>
        <w:gridCol w:w="1545"/>
        <w:gridCol w:w="1545"/>
        <w:gridCol w:w="1545"/>
      </w:tblGrid>
      <w:tr w:rsidR="005D5653" w:rsidRPr="00C41928" w14:paraId="3F75000B" w14:textId="77777777" w:rsidTr="005D5653">
        <w:trPr>
          <w:jc w:val="center"/>
        </w:trPr>
        <w:tc>
          <w:tcPr>
            <w:tcW w:w="1460" w:type="dxa"/>
            <w:shd w:val="clear" w:color="auto" w:fill="B5C0D8"/>
          </w:tcPr>
          <w:p w14:paraId="35624460" w14:textId="77777777" w:rsidR="005D5653" w:rsidRPr="00C41928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Aktivnost</w:t>
            </w:r>
          </w:p>
        </w:tc>
        <w:tc>
          <w:tcPr>
            <w:tcW w:w="1544" w:type="dxa"/>
            <w:shd w:val="clear" w:color="auto" w:fill="B5C0D8"/>
            <w:vAlign w:val="top"/>
          </w:tcPr>
          <w:p w14:paraId="15E5D48B" w14:textId="77777777" w:rsidR="005D5653" w:rsidRPr="00C41928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Izvršenje 2022.</w:t>
            </w:r>
          </w:p>
        </w:tc>
        <w:tc>
          <w:tcPr>
            <w:tcW w:w="1511" w:type="dxa"/>
            <w:shd w:val="clear" w:color="auto" w:fill="B5C0D8"/>
            <w:vAlign w:val="top"/>
          </w:tcPr>
          <w:p w14:paraId="2D179EC8" w14:textId="77777777" w:rsidR="005D5653" w:rsidRPr="00C41928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sz w:val="22"/>
              </w:rPr>
            </w:pPr>
            <w:r w:rsidRPr="00C41928">
              <w:rPr>
                <w:rFonts w:cs="Times New Roman"/>
                <w:sz w:val="22"/>
              </w:rPr>
              <w:t>Plan 2023.</w:t>
            </w:r>
          </w:p>
        </w:tc>
        <w:tc>
          <w:tcPr>
            <w:tcW w:w="1545" w:type="dxa"/>
            <w:shd w:val="clear" w:color="auto" w:fill="B5C0D8"/>
          </w:tcPr>
          <w:p w14:paraId="7E3320AA" w14:textId="59B024AF" w:rsidR="005D5653" w:rsidRPr="00C41928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2BA9536C">
              <w:rPr>
                <w:rFonts w:cs="Times New Roman"/>
              </w:rPr>
              <w:t>Izvršenje 2023.</w:t>
            </w:r>
          </w:p>
        </w:tc>
        <w:tc>
          <w:tcPr>
            <w:tcW w:w="1545" w:type="dxa"/>
            <w:shd w:val="clear" w:color="auto" w:fill="B5C0D8"/>
          </w:tcPr>
          <w:p w14:paraId="0A791AF0" w14:textId="1A791738" w:rsidR="005D5653" w:rsidRPr="00C41928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2BA9536C">
              <w:rPr>
                <w:rFonts w:cs="Times New Roman"/>
              </w:rPr>
              <w:t>Indeks izvršenje 2023./plan 2023.</w:t>
            </w:r>
          </w:p>
        </w:tc>
        <w:tc>
          <w:tcPr>
            <w:tcW w:w="1545" w:type="dxa"/>
            <w:shd w:val="clear" w:color="auto" w:fill="B5C0D8"/>
          </w:tcPr>
          <w:p w14:paraId="630B225B" w14:textId="6FDF9F53" w:rsidR="005D5653" w:rsidRPr="00C41928" w:rsidRDefault="005D5653" w:rsidP="005D5653">
            <w:pPr>
              <w:pStyle w:val="CellHeader"/>
              <w:spacing w:after="0"/>
              <w:jc w:val="center"/>
              <w:rPr>
                <w:rFonts w:cs="Times New Roman"/>
                <w:b/>
                <w:bCs w:val="0"/>
                <w:sz w:val="22"/>
              </w:rPr>
            </w:pPr>
            <w:r w:rsidRPr="2BA9536C">
              <w:rPr>
                <w:rFonts w:cs="Times New Roman"/>
              </w:rPr>
              <w:t>Indeks izvršenje 2023./2022.</w:t>
            </w:r>
          </w:p>
        </w:tc>
      </w:tr>
      <w:tr w:rsidR="005D5653" w:rsidRPr="00C41928" w14:paraId="3695D708" w14:textId="77777777" w:rsidTr="005D5653">
        <w:trPr>
          <w:jc w:val="center"/>
        </w:trPr>
        <w:tc>
          <w:tcPr>
            <w:tcW w:w="1460" w:type="dxa"/>
            <w:vAlign w:val="top"/>
          </w:tcPr>
          <w:p w14:paraId="068F6A56" w14:textId="68C430F3" w:rsidR="005D5653" w:rsidRPr="00C41928" w:rsidRDefault="005D5653" w:rsidP="00F66F5D">
            <w:pPr>
              <w:pStyle w:val="Naslov4"/>
              <w:spacing w:after="0"/>
              <w:jc w:val="center"/>
              <w:outlineLvl w:val="3"/>
              <w:rPr>
                <w:sz w:val="22"/>
                <w:szCs w:val="22"/>
              </w:rPr>
            </w:pPr>
            <w:r w:rsidRPr="00C41928">
              <w:rPr>
                <w:b w:val="0"/>
                <w:bCs w:val="0"/>
                <w:i/>
                <w:iCs/>
                <w:sz w:val="22"/>
                <w:szCs w:val="22"/>
              </w:rPr>
              <w:t>A630113</w:t>
            </w:r>
          </w:p>
        </w:tc>
        <w:tc>
          <w:tcPr>
            <w:tcW w:w="1544" w:type="dxa"/>
            <w:vAlign w:val="top"/>
          </w:tcPr>
          <w:p w14:paraId="46EF0B88" w14:textId="67064120" w:rsidR="005D5653" w:rsidRPr="00C41928" w:rsidRDefault="002847E9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1.194.143,10</w:t>
            </w:r>
          </w:p>
        </w:tc>
        <w:tc>
          <w:tcPr>
            <w:tcW w:w="1511" w:type="dxa"/>
            <w:vAlign w:val="top"/>
          </w:tcPr>
          <w:p w14:paraId="5B9A3347" w14:textId="6D29E0BF" w:rsidR="005D5653" w:rsidRPr="00C41928" w:rsidRDefault="002847E9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933.294,00</w:t>
            </w:r>
          </w:p>
        </w:tc>
        <w:tc>
          <w:tcPr>
            <w:tcW w:w="1545" w:type="dxa"/>
            <w:vAlign w:val="top"/>
          </w:tcPr>
          <w:p w14:paraId="45AE0096" w14:textId="3821C6D9" w:rsidR="005D5653" w:rsidRPr="00C41928" w:rsidRDefault="00016131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926.787,21</w:t>
            </w:r>
          </w:p>
        </w:tc>
        <w:tc>
          <w:tcPr>
            <w:tcW w:w="1545" w:type="dxa"/>
            <w:vAlign w:val="top"/>
          </w:tcPr>
          <w:p w14:paraId="3F595382" w14:textId="481C36B2" w:rsidR="005D5653" w:rsidRPr="00C41928" w:rsidRDefault="00606696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99,30</w:t>
            </w:r>
          </w:p>
        </w:tc>
        <w:tc>
          <w:tcPr>
            <w:tcW w:w="1545" w:type="dxa"/>
            <w:vAlign w:val="top"/>
          </w:tcPr>
          <w:p w14:paraId="60E573F9" w14:textId="53A57CA9" w:rsidR="005D5653" w:rsidRPr="00C41928" w:rsidRDefault="00606696" w:rsidP="00F66F5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77,61</w:t>
            </w:r>
          </w:p>
        </w:tc>
      </w:tr>
    </w:tbl>
    <w:p w14:paraId="64A60733" w14:textId="380C5E29" w:rsidR="006F1566" w:rsidRDefault="006F1566" w:rsidP="006F1566">
      <w:pPr>
        <w:rPr>
          <w:szCs w:val="22"/>
        </w:rPr>
      </w:pPr>
    </w:p>
    <w:p w14:paraId="0BE3CCC9" w14:textId="77777777" w:rsidR="00606696" w:rsidRPr="00EB77AD" w:rsidRDefault="00606696" w:rsidP="00606696">
      <w:pPr>
        <w:rPr>
          <w:sz w:val="24"/>
          <w:szCs w:val="24"/>
        </w:rPr>
      </w:pPr>
      <w:r w:rsidRPr="00EB77AD">
        <w:rPr>
          <w:iCs/>
          <w:sz w:val="24"/>
          <w:szCs w:val="24"/>
        </w:rPr>
        <w:t xml:space="preserve">Navedena aktivnost obuhvaća sve izvore financiranja (osim izvora 11 i 41), budući prema Zakonu o proračunu i Uputi Ministarstva financija proizlazi obveza iskazivanja ukupnih prihoda i primitaka iz svih izvora financiranja u državnom proračunu. Na ustanove u sustavu </w:t>
      </w:r>
      <w:r w:rsidRPr="00EB77AD">
        <w:rPr>
          <w:iCs/>
          <w:sz w:val="24"/>
          <w:szCs w:val="24"/>
        </w:rPr>
        <w:lastRenderedPageBreak/>
        <w:t>izvršenja sankcija ne odnosi se obveza uplate svih prihoda u državni proračun, već ostvarenje i trošenje vlastitih prihoda iskazuju jednom mjesečno u sustavu državne riznice (evidencijski).</w:t>
      </w:r>
      <w:r w:rsidRPr="00EB77AD">
        <w:rPr>
          <w:sz w:val="24"/>
          <w:szCs w:val="24"/>
        </w:rPr>
        <w:t xml:space="preserve"> </w:t>
      </w:r>
    </w:p>
    <w:p w14:paraId="3D340460" w14:textId="49A31B32" w:rsidR="00606696" w:rsidRPr="00EB77AD" w:rsidRDefault="00606696" w:rsidP="00606696">
      <w:pPr>
        <w:rPr>
          <w:iCs/>
          <w:sz w:val="24"/>
          <w:szCs w:val="24"/>
        </w:rPr>
      </w:pPr>
      <w:r w:rsidRPr="00EB77AD">
        <w:rPr>
          <w:iCs/>
          <w:sz w:val="24"/>
          <w:szCs w:val="24"/>
        </w:rPr>
        <w:t xml:space="preserve">Prihodi koji se u riznici iskazuju evidencijski koriste se za podmirivanje materijalnih i rashoda poslovanja poboljšanje uvjeta života zatvorenika, te kapitalne izdatke. i namijenjena su za pokriće rashoda vezanih uz obavljanje vlastite djelatnosti te za ulaganja u opremu, uređaje i strojeve potrebne za obavljanje vlastite djelatnosti u radionicama kao i za poboljšanje uvjeta za rad zatvorenika. </w:t>
      </w:r>
    </w:p>
    <w:p w14:paraId="0F98AA0C" w14:textId="77777777" w:rsidR="00606696" w:rsidRPr="00EB77AD" w:rsidRDefault="00606696" w:rsidP="00606696">
      <w:pPr>
        <w:rPr>
          <w:b/>
          <w:bCs/>
          <w:sz w:val="24"/>
          <w:szCs w:val="24"/>
          <w:u w:val="single"/>
        </w:rPr>
      </w:pPr>
      <w:r w:rsidRPr="00EB77AD">
        <w:rPr>
          <w:b/>
          <w:bCs/>
          <w:sz w:val="24"/>
          <w:szCs w:val="24"/>
          <w:u w:val="single"/>
        </w:rPr>
        <w:t>Izvor 31</w:t>
      </w:r>
    </w:p>
    <w:p w14:paraId="0384C522" w14:textId="396159DD" w:rsidR="00606696" w:rsidRPr="00EB77AD" w:rsidRDefault="00606696" w:rsidP="00436E91">
      <w:pPr>
        <w:rPr>
          <w:iCs/>
          <w:sz w:val="24"/>
          <w:szCs w:val="24"/>
        </w:rPr>
      </w:pPr>
      <w:r w:rsidRPr="00EB77AD">
        <w:rPr>
          <w:sz w:val="24"/>
          <w:szCs w:val="24"/>
        </w:rPr>
        <w:t xml:space="preserve">Planirani </w:t>
      </w:r>
      <w:r w:rsidRPr="00EB77AD">
        <w:rPr>
          <w:sz w:val="24"/>
          <w:szCs w:val="24"/>
        </w:rPr>
        <w:t>rashodi</w:t>
      </w:r>
      <w:r w:rsidRPr="00EB77AD">
        <w:rPr>
          <w:sz w:val="24"/>
          <w:szCs w:val="24"/>
        </w:rPr>
        <w:t xml:space="preserve"> </w:t>
      </w:r>
      <w:r w:rsidRPr="00EB77AD">
        <w:rPr>
          <w:iCs/>
          <w:sz w:val="24"/>
          <w:szCs w:val="24"/>
        </w:rPr>
        <w:t xml:space="preserve"> </w:t>
      </w:r>
      <w:r w:rsidRPr="00EB77AD">
        <w:rPr>
          <w:sz w:val="24"/>
          <w:szCs w:val="24"/>
        </w:rPr>
        <w:t>za 2023. godinu</w:t>
      </w:r>
      <w:r w:rsidRPr="00EB77AD">
        <w:rPr>
          <w:iCs/>
          <w:sz w:val="24"/>
          <w:szCs w:val="24"/>
        </w:rPr>
        <w:t xml:space="preserve"> iznose </w:t>
      </w:r>
      <w:r w:rsidR="00EB77AD" w:rsidRPr="00EB77AD">
        <w:rPr>
          <w:iCs/>
          <w:sz w:val="24"/>
          <w:szCs w:val="24"/>
        </w:rPr>
        <w:t>793.194,00</w:t>
      </w:r>
      <w:r w:rsidRPr="00EB77AD">
        <w:rPr>
          <w:iCs/>
          <w:sz w:val="24"/>
          <w:szCs w:val="24"/>
        </w:rPr>
        <w:t xml:space="preserve"> EUR , a izvršeni su u iznosi od </w:t>
      </w:r>
      <w:r w:rsidR="00EB77AD" w:rsidRPr="00EB77AD">
        <w:rPr>
          <w:iCs/>
          <w:sz w:val="24"/>
          <w:szCs w:val="24"/>
        </w:rPr>
        <w:t>786.773,26</w:t>
      </w:r>
      <w:r w:rsidRPr="00EB77AD">
        <w:rPr>
          <w:iCs/>
          <w:sz w:val="24"/>
          <w:szCs w:val="24"/>
        </w:rPr>
        <w:t xml:space="preserve"> EUR</w:t>
      </w:r>
      <w:r w:rsidRPr="00EB77AD">
        <w:rPr>
          <w:sz w:val="24"/>
          <w:szCs w:val="24"/>
        </w:rPr>
        <w:t xml:space="preserve"> odnosno </w:t>
      </w:r>
      <w:r w:rsidRPr="00EB77AD">
        <w:rPr>
          <w:sz w:val="24"/>
          <w:szCs w:val="24"/>
        </w:rPr>
        <w:t>99,</w:t>
      </w:r>
      <w:r w:rsidR="00EB77AD" w:rsidRPr="00EB77AD">
        <w:rPr>
          <w:sz w:val="24"/>
          <w:szCs w:val="24"/>
        </w:rPr>
        <w:t>19</w:t>
      </w:r>
      <w:r w:rsidRPr="00EB77AD">
        <w:rPr>
          <w:sz w:val="24"/>
          <w:szCs w:val="24"/>
        </w:rPr>
        <w:t xml:space="preserve"> % u odnosu na plan</w:t>
      </w:r>
      <w:r w:rsidRPr="00EB77AD">
        <w:rPr>
          <w:sz w:val="24"/>
          <w:szCs w:val="24"/>
        </w:rPr>
        <w:t xml:space="preserve">. Za podmirenje rashoda ostvareni su prihodi </w:t>
      </w:r>
      <w:r w:rsidRPr="00EB77AD">
        <w:rPr>
          <w:sz w:val="24"/>
          <w:szCs w:val="24"/>
        </w:rPr>
        <w:t xml:space="preserve">od prodaje poljoprivrednih proizvoda, </w:t>
      </w:r>
      <w:r w:rsidRPr="00EB77AD">
        <w:rPr>
          <w:sz w:val="24"/>
          <w:szCs w:val="24"/>
        </w:rPr>
        <w:t xml:space="preserve">usluga metalske, krojačke, ugostiteljske </w:t>
      </w:r>
      <w:r w:rsidR="00436E91" w:rsidRPr="00EB77AD">
        <w:rPr>
          <w:sz w:val="24"/>
          <w:szCs w:val="24"/>
        </w:rPr>
        <w:t xml:space="preserve">radionice te radionice održavanja, </w:t>
      </w:r>
      <w:r w:rsidRPr="00EB77AD">
        <w:rPr>
          <w:sz w:val="24"/>
          <w:szCs w:val="24"/>
        </w:rPr>
        <w:t xml:space="preserve">prodaje ambalaže, rabata zatvorske prodavaonice, usluga </w:t>
      </w:r>
      <w:r w:rsidR="00436E91" w:rsidRPr="00EB77AD">
        <w:rPr>
          <w:sz w:val="24"/>
          <w:szCs w:val="24"/>
        </w:rPr>
        <w:t>kopiranja zatvorenicima te</w:t>
      </w:r>
      <w:r w:rsidRPr="00EB77AD">
        <w:rPr>
          <w:sz w:val="24"/>
          <w:szCs w:val="24"/>
        </w:rPr>
        <w:t xml:space="preserve"> usluga sprovođenja</w:t>
      </w:r>
      <w:r w:rsidR="00436E91" w:rsidRPr="00EB77AD">
        <w:rPr>
          <w:sz w:val="24"/>
          <w:szCs w:val="24"/>
        </w:rPr>
        <w:t xml:space="preserve"> zatvorenika.</w:t>
      </w:r>
    </w:p>
    <w:p w14:paraId="3F64EA31" w14:textId="77777777" w:rsidR="00436E91" w:rsidRPr="00EB77AD" w:rsidRDefault="00436E91" w:rsidP="00436E91">
      <w:pPr>
        <w:rPr>
          <w:iCs/>
          <w:sz w:val="24"/>
          <w:szCs w:val="24"/>
        </w:rPr>
      </w:pPr>
    </w:p>
    <w:p w14:paraId="5752AFC0" w14:textId="0838C63D" w:rsidR="00606696" w:rsidRPr="00EB77AD" w:rsidRDefault="00606696" w:rsidP="00EB77AD">
      <w:pPr>
        <w:spacing w:after="0"/>
        <w:rPr>
          <w:sz w:val="24"/>
          <w:szCs w:val="24"/>
        </w:rPr>
      </w:pPr>
      <w:r w:rsidRPr="00EB77AD">
        <w:rPr>
          <w:b/>
          <w:sz w:val="24"/>
          <w:szCs w:val="24"/>
        </w:rPr>
        <w:t>32 Materijalni rashodi</w:t>
      </w:r>
      <w:r w:rsidRPr="00EB77AD">
        <w:rPr>
          <w:sz w:val="24"/>
          <w:szCs w:val="24"/>
        </w:rPr>
        <w:t xml:space="preserve">  - </w:t>
      </w:r>
      <w:r w:rsidRPr="00EB77AD">
        <w:rPr>
          <w:bCs/>
          <w:sz w:val="24"/>
          <w:szCs w:val="24"/>
        </w:rPr>
        <w:t>planirana su sredstva za</w:t>
      </w:r>
      <w:r w:rsidRPr="00EB77AD">
        <w:rPr>
          <w:b/>
          <w:sz w:val="24"/>
          <w:szCs w:val="24"/>
        </w:rPr>
        <w:t xml:space="preserve"> materijalne rashode u 2023. godini </w:t>
      </w:r>
      <w:r w:rsidRPr="00EB77AD">
        <w:rPr>
          <w:bCs/>
          <w:sz w:val="24"/>
          <w:szCs w:val="24"/>
        </w:rPr>
        <w:t>u iznosu od</w:t>
      </w:r>
      <w:r w:rsidRPr="00EB77AD">
        <w:rPr>
          <w:b/>
          <w:sz w:val="24"/>
          <w:szCs w:val="24"/>
        </w:rPr>
        <w:t xml:space="preserve"> </w:t>
      </w:r>
      <w:r w:rsidR="00436E91" w:rsidRPr="00EB77AD">
        <w:rPr>
          <w:b/>
          <w:sz w:val="24"/>
          <w:szCs w:val="24"/>
        </w:rPr>
        <w:t>750.890,00</w:t>
      </w:r>
      <w:r w:rsidRPr="00EB77AD">
        <w:rPr>
          <w:b/>
          <w:sz w:val="24"/>
          <w:szCs w:val="24"/>
        </w:rPr>
        <w:t xml:space="preserve"> EUR, </w:t>
      </w:r>
      <w:r w:rsidRPr="00EB77AD">
        <w:rPr>
          <w:sz w:val="24"/>
          <w:szCs w:val="24"/>
        </w:rPr>
        <w:t xml:space="preserve">a izvršeni su u iznosu </w:t>
      </w:r>
      <w:r w:rsidR="00436E91" w:rsidRPr="00EB77AD">
        <w:rPr>
          <w:b/>
          <w:bCs/>
          <w:sz w:val="24"/>
          <w:szCs w:val="24"/>
        </w:rPr>
        <w:t>749.165,04</w:t>
      </w:r>
      <w:r w:rsidRPr="00EB77AD">
        <w:rPr>
          <w:b/>
          <w:bCs/>
          <w:sz w:val="24"/>
          <w:szCs w:val="24"/>
        </w:rPr>
        <w:t xml:space="preserve"> EUR</w:t>
      </w:r>
      <w:r w:rsidRPr="00EB77AD">
        <w:rPr>
          <w:sz w:val="24"/>
          <w:szCs w:val="24"/>
        </w:rPr>
        <w:t xml:space="preserve">, odnosno </w:t>
      </w:r>
      <w:r w:rsidR="00436E91" w:rsidRPr="00EB77AD">
        <w:rPr>
          <w:sz w:val="24"/>
          <w:szCs w:val="24"/>
        </w:rPr>
        <w:t>99,77</w:t>
      </w:r>
      <w:r w:rsidRPr="00EB77AD">
        <w:rPr>
          <w:sz w:val="24"/>
          <w:szCs w:val="24"/>
        </w:rPr>
        <w:t xml:space="preserve"> % u odnosu na plan, od čega su:</w:t>
      </w:r>
    </w:p>
    <w:p w14:paraId="1A2D2C5F" w14:textId="2B5EB11C" w:rsidR="00606696" w:rsidRPr="00EB77AD" w:rsidRDefault="00606696" w:rsidP="00606696">
      <w:pPr>
        <w:spacing w:after="0"/>
        <w:rPr>
          <w:sz w:val="24"/>
          <w:szCs w:val="24"/>
        </w:rPr>
      </w:pPr>
      <w:r w:rsidRPr="00EB77AD">
        <w:rPr>
          <w:sz w:val="24"/>
          <w:szCs w:val="24"/>
        </w:rPr>
        <w:t xml:space="preserve">- </w:t>
      </w:r>
      <w:r w:rsidRPr="00EB77AD">
        <w:rPr>
          <w:b/>
          <w:bCs/>
          <w:iCs/>
          <w:sz w:val="24"/>
          <w:szCs w:val="24"/>
        </w:rPr>
        <w:t>naknade troškova zaposlenima</w:t>
      </w:r>
      <w:r w:rsidRPr="00EB77AD">
        <w:rPr>
          <w:iCs/>
          <w:sz w:val="24"/>
          <w:szCs w:val="24"/>
        </w:rPr>
        <w:t xml:space="preserve"> planirani su u iznosu </w:t>
      </w:r>
      <w:r w:rsidR="00436E91" w:rsidRPr="00EB77AD">
        <w:rPr>
          <w:iCs/>
          <w:sz w:val="24"/>
          <w:szCs w:val="24"/>
        </w:rPr>
        <w:t>720,00</w:t>
      </w:r>
      <w:r w:rsidRPr="00EB77AD">
        <w:rPr>
          <w:iCs/>
          <w:sz w:val="24"/>
          <w:szCs w:val="24"/>
        </w:rPr>
        <w:t xml:space="preserve"> EUR, a izvršena u iznosu </w:t>
      </w:r>
      <w:r w:rsidR="00436E91" w:rsidRPr="00EB77AD">
        <w:rPr>
          <w:iCs/>
          <w:sz w:val="24"/>
          <w:szCs w:val="24"/>
        </w:rPr>
        <w:t>706,60</w:t>
      </w:r>
      <w:r w:rsidRPr="00EB77AD">
        <w:rPr>
          <w:iCs/>
          <w:sz w:val="24"/>
          <w:szCs w:val="24"/>
        </w:rPr>
        <w:t xml:space="preserve"> EUR, odnosno izvršena su </w:t>
      </w:r>
      <w:r w:rsidR="00436E91" w:rsidRPr="00EB77AD">
        <w:rPr>
          <w:iCs/>
          <w:sz w:val="24"/>
          <w:szCs w:val="24"/>
        </w:rPr>
        <w:t>98,14</w:t>
      </w:r>
      <w:r w:rsidRPr="00EB77AD">
        <w:rPr>
          <w:iCs/>
          <w:sz w:val="24"/>
          <w:szCs w:val="24"/>
        </w:rPr>
        <w:t xml:space="preserve"> % u odnosu na plan </w:t>
      </w:r>
      <w:r w:rsidRPr="00EB77AD">
        <w:rPr>
          <w:sz w:val="24"/>
          <w:szCs w:val="24"/>
        </w:rPr>
        <w:t xml:space="preserve">(službena putovanja </w:t>
      </w:r>
      <w:r w:rsidR="00436E91" w:rsidRPr="00EB77AD">
        <w:rPr>
          <w:sz w:val="24"/>
          <w:szCs w:val="24"/>
        </w:rPr>
        <w:t>530,83</w:t>
      </w:r>
      <w:r w:rsidRPr="00EB77AD">
        <w:rPr>
          <w:sz w:val="24"/>
          <w:szCs w:val="24"/>
        </w:rPr>
        <w:t xml:space="preserve"> EUR i stručno usavršavanje </w:t>
      </w:r>
      <w:r w:rsidR="00436E91" w:rsidRPr="00EB77AD">
        <w:rPr>
          <w:sz w:val="24"/>
          <w:szCs w:val="24"/>
        </w:rPr>
        <w:t>175,77</w:t>
      </w:r>
      <w:r w:rsidRPr="00EB77AD">
        <w:rPr>
          <w:sz w:val="24"/>
          <w:szCs w:val="24"/>
        </w:rPr>
        <w:t xml:space="preserve"> EUR)</w:t>
      </w:r>
    </w:p>
    <w:p w14:paraId="520C0743" w14:textId="7E33F945" w:rsidR="00606696" w:rsidRPr="00EB77AD" w:rsidRDefault="00606696" w:rsidP="00606696">
      <w:pPr>
        <w:spacing w:after="0"/>
        <w:rPr>
          <w:sz w:val="24"/>
          <w:szCs w:val="24"/>
        </w:rPr>
      </w:pPr>
      <w:r w:rsidRPr="00EB77AD">
        <w:rPr>
          <w:b/>
          <w:bCs/>
          <w:sz w:val="24"/>
          <w:szCs w:val="24"/>
        </w:rPr>
        <w:t xml:space="preserve">- </w:t>
      </w:r>
      <w:r w:rsidRPr="00EB77AD">
        <w:rPr>
          <w:b/>
          <w:bCs/>
          <w:iCs/>
          <w:sz w:val="24"/>
          <w:szCs w:val="24"/>
        </w:rPr>
        <w:t>rashod</w:t>
      </w:r>
      <w:r w:rsidR="00BF5E1B" w:rsidRPr="00EB77AD">
        <w:rPr>
          <w:b/>
          <w:bCs/>
          <w:iCs/>
          <w:sz w:val="24"/>
          <w:szCs w:val="24"/>
        </w:rPr>
        <w:t>i</w:t>
      </w:r>
      <w:r w:rsidRPr="00EB77AD">
        <w:rPr>
          <w:b/>
          <w:bCs/>
          <w:iCs/>
          <w:sz w:val="24"/>
          <w:szCs w:val="24"/>
        </w:rPr>
        <w:t xml:space="preserve"> za materijal i energiju</w:t>
      </w:r>
      <w:r w:rsidRPr="00EB77AD">
        <w:rPr>
          <w:iCs/>
          <w:sz w:val="24"/>
          <w:szCs w:val="24"/>
        </w:rPr>
        <w:t xml:space="preserve"> planirani su u iznosu </w:t>
      </w:r>
      <w:r w:rsidR="00436E91" w:rsidRPr="00EB77AD">
        <w:rPr>
          <w:iCs/>
          <w:sz w:val="24"/>
          <w:szCs w:val="24"/>
        </w:rPr>
        <w:t>533.820,00</w:t>
      </w:r>
      <w:r w:rsidRPr="00EB77AD">
        <w:rPr>
          <w:sz w:val="24"/>
          <w:szCs w:val="24"/>
        </w:rPr>
        <w:t xml:space="preserve"> EUR, a izvršeni su u iznosu od </w:t>
      </w:r>
      <w:r w:rsidR="00436E91" w:rsidRPr="00EB77AD">
        <w:rPr>
          <w:iCs/>
          <w:sz w:val="24"/>
          <w:szCs w:val="24"/>
        </w:rPr>
        <w:t>533.660,59</w:t>
      </w:r>
      <w:r w:rsidRPr="00EB77AD">
        <w:rPr>
          <w:iCs/>
          <w:sz w:val="24"/>
          <w:szCs w:val="24"/>
        </w:rPr>
        <w:t xml:space="preserve"> EUR</w:t>
      </w:r>
      <w:r w:rsidRPr="00EB77AD">
        <w:rPr>
          <w:sz w:val="24"/>
          <w:szCs w:val="24"/>
        </w:rPr>
        <w:t xml:space="preserve">, odnosno </w:t>
      </w:r>
      <w:r w:rsidR="00BF5E1B" w:rsidRPr="00EB77AD">
        <w:rPr>
          <w:sz w:val="24"/>
          <w:szCs w:val="24"/>
        </w:rPr>
        <w:t>99,97</w:t>
      </w:r>
      <w:r w:rsidRPr="00EB77AD">
        <w:rPr>
          <w:sz w:val="24"/>
          <w:szCs w:val="24"/>
        </w:rPr>
        <w:t>% (za uredski materijal</w:t>
      </w:r>
      <w:r w:rsidR="00BF5E1B" w:rsidRPr="00EB77AD">
        <w:rPr>
          <w:sz w:val="24"/>
          <w:szCs w:val="24"/>
        </w:rPr>
        <w:t xml:space="preserve"> 10.455,96 EUR</w:t>
      </w:r>
      <w:r w:rsidRPr="00EB77AD">
        <w:rPr>
          <w:sz w:val="24"/>
          <w:szCs w:val="24"/>
        </w:rPr>
        <w:t xml:space="preserve">, namirnice, trošak prehrane zaposlenika, lijekovi za životinje, ostali materijal za redovno poslovanje u iznosu </w:t>
      </w:r>
      <w:r w:rsidR="00BF5E1B" w:rsidRPr="00EB77AD">
        <w:rPr>
          <w:sz w:val="24"/>
          <w:szCs w:val="24"/>
        </w:rPr>
        <w:t>414.360,32</w:t>
      </w:r>
      <w:r w:rsidRPr="00EB77AD">
        <w:rPr>
          <w:sz w:val="24"/>
          <w:szCs w:val="24"/>
        </w:rPr>
        <w:t xml:space="preserve"> EUR, </w:t>
      </w:r>
      <w:r w:rsidR="00BF5E1B" w:rsidRPr="00EB77AD">
        <w:rPr>
          <w:sz w:val="24"/>
          <w:szCs w:val="24"/>
        </w:rPr>
        <w:t xml:space="preserve">struja, </w:t>
      </w:r>
      <w:r w:rsidRPr="00EB77AD">
        <w:rPr>
          <w:sz w:val="24"/>
          <w:szCs w:val="24"/>
        </w:rPr>
        <w:t xml:space="preserve">gorivo, plin u iznosu </w:t>
      </w:r>
      <w:r w:rsidR="00BF5E1B" w:rsidRPr="00EB77AD">
        <w:rPr>
          <w:sz w:val="24"/>
          <w:szCs w:val="24"/>
        </w:rPr>
        <w:t>55.774,07 EUR</w:t>
      </w:r>
      <w:r w:rsidRPr="00EB77AD">
        <w:rPr>
          <w:sz w:val="24"/>
          <w:szCs w:val="24"/>
        </w:rPr>
        <w:t xml:space="preserve">, materijal za tekuće održavanje zgrada, prijevoznih sredstava </w:t>
      </w:r>
      <w:r w:rsidR="00BF5E1B" w:rsidRPr="00EB77AD">
        <w:rPr>
          <w:sz w:val="24"/>
          <w:szCs w:val="24"/>
        </w:rPr>
        <w:t>26.235,09</w:t>
      </w:r>
      <w:r w:rsidRPr="00EB77AD">
        <w:rPr>
          <w:sz w:val="24"/>
          <w:szCs w:val="24"/>
        </w:rPr>
        <w:t xml:space="preserve"> EUR, sitni inventar i auto gume </w:t>
      </w:r>
      <w:r w:rsidR="00BF5E1B" w:rsidRPr="00EB77AD">
        <w:rPr>
          <w:sz w:val="24"/>
          <w:szCs w:val="24"/>
        </w:rPr>
        <w:t>21.545,55</w:t>
      </w:r>
      <w:r w:rsidRPr="00EB77AD">
        <w:rPr>
          <w:sz w:val="24"/>
          <w:szCs w:val="24"/>
        </w:rPr>
        <w:t xml:space="preserve"> EUR, službena, radna odjeća i obuća za zatvorenike </w:t>
      </w:r>
      <w:r w:rsidR="00BF5E1B" w:rsidRPr="00EB77AD">
        <w:rPr>
          <w:sz w:val="24"/>
          <w:szCs w:val="24"/>
        </w:rPr>
        <w:t>5.289,60</w:t>
      </w:r>
      <w:r w:rsidRPr="00EB77AD">
        <w:rPr>
          <w:sz w:val="24"/>
          <w:szCs w:val="24"/>
        </w:rPr>
        <w:t xml:space="preserve"> €)</w:t>
      </w:r>
    </w:p>
    <w:p w14:paraId="327F6B82" w14:textId="21A10D3E" w:rsidR="00606696" w:rsidRPr="00EB77AD" w:rsidRDefault="00BF5E1B" w:rsidP="00606696">
      <w:pPr>
        <w:spacing w:after="0"/>
        <w:rPr>
          <w:sz w:val="24"/>
          <w:szCs w:val="24"/>
        </w:rPr>
      </w:pPr>
      <w:r w:rsidRPr="00EB77AD">
        <w:rPr>
          <w:b/>
          <w:bCs/>
          <w:iCs/>
          <w:sz w:val="24"/>
          <w:szCs w:val="24"/>
        </w:rPr>
        <w:t xml:space="preserve">rashodi </w:t>
      </w:r>
      <w:r w:rsidR="00606696" w:rsidRPr="00EB77AD">
        <w:rPr>
          <w:b/>
          <w:bCs/>
          <w:iCs/>
          <w:sz w:val="24"/>
          <w:szCs w:val="24"/>
        </w:rPr>
        <w:t xml:space="preserve"> za usluge</w:t>
      </w:r>
      <w:r w:rsidR="00606696" w:rsidRPr="00EB77AD">
        <w:rPr>
          <w:sz w:val="24"/>
          <w:szCs w:val="24"/>
        </w:rPr>
        <w:t xml:space="preserve"> </w:t>
      </w:r>
      <w:r w:rsidR="00606696" w:rsidRPr="00EB77AD">
        <w:rPr>
          <w:iCs/>
          <w:sz w:val="24"/>
          <w:szCs w:val="24"/>
        </w:rPr>
        <w:t xml:space="preserve">planirani su u iznosu </w:t>
      </w:r>
      <w:r w:rsidRPr="00EB77AD">
        <w:rPr>
          <w:iCs/>
          <w:sz w:val="24"/>
          <w:szCs w:val="24"/>
        </w:rPr>
        <w:t>114.800,00</w:t>
      </w:r>
      <w:r w:rsidR="00606696" w:rsidRPr="00EB77AD">
        <w:rPr>
          <w:sz w:val="24"/>
          <w:szCs w:val="24"/>
        </w:rPr>
        <w:t xml:space="preserve"> EUR, a izvršen</w:t>
      </w:r>
      <w:r w:rsidRPr="00EB77AD">
        <w:rPr>
          <w:sz w:val="24"/>
          <w:szCs w:val="24"/>
        </w:rPr>
        <w:t>i</w:t>
      </w:r>
      <w:r w:rsidR="00606696" w:rsidRPr="00EB77AD">
        <w:rPr>
          <w:sz w:val="24"/>
          <w:szCs w:val="24"/>
        </w:rPr>
        <w:t xml:space="preserve"> su u iznosu od </w:t>
      </w:r>
      <w:r w:rsidRPr="00EB77AD">
        <w:rPr>
          <w:iCs/>
          <w:sz w:val="24"/>
          <w:szCs w:val="24"/>
        </w:rPr>
        <w:t>113.417,67</w:t>
      </w:r>
      <w:r w:rsidR="00606696" w:rsidRPr="00EB77AD">
        <w:rPr>
          <w:iCs/>
          <w:sz w:val="24"/>
          <w:szCs w:val="24"/>
        </w:rPr>
        <w:t xml:space="preserve"> EUR</w:t>
      </w:r>
      <w:r w:rsidR="00606696" w:rsidRPr="00EB77AD">
        <w:rPr>
          <w:sz w:val="24"/>
          <w:szCs w:val="24"/>
        </w:rPr>
        <w:t xml:space="preserve">, odnosno </w:t>
      </w:r>
      <w:r w:rsidRPr="00EB77AD">
        <w:rPr>
          <w:sz w:val="24"/>
          <w:szCs w:val="24"/>
        </w:rPr>
        <w:t>98,80</w:t>
      </w:r>
      <w:r w:rsidR="00606696" w:rsidRPr="00EB77AD">
        <w:rPr>
          <w:sz w:val="24"/>
          <w:szCs w:val="24"/>
        </w:rPr>
        <w:t xml:space="preserve"> % (</w:t>
      </w:r>
      <w:r w:rsidRPr="00EB77AD">
        <w:rPr>
          <w:sz w:val="24"/>
          <w:szCs w:val="24"/>
        </w:rPr>
        <w:t xml:space="preserve">poštanske usluge 31,36 EUR, </w:t>
      </w:r>
      <w:r w:rsidR="00606696" w:rsidRPr="00EB77AD">
        <w:rPr>
          <w:sz w:val="24"/>
          <w:szCs w:val="24"/>
        </w:rPr>
        <w:t xml:space="preserve">usluge održavanja postrojenja, opreme, vozila u iznosu od </w:t>
      </w:r>
      <w:r w:rsidRPr="00EB77AD">
        <w:rPr>
          <w:sz w:val="24"/>
          <w:szCs w:val="24"/>
        </w:rPr>
        <w:t xml:space="preserve">45.044,91 EUR, usluge promidžbe – objava </w:t>
      </w:r>
      <w:r w:rsidR="008D3652" w:rsidRPr="00EB77AD">
        <w:rPr>
          <w:sz w:val="24"/>
          <w:szCs w:val="24"/>
        </w:rPr>
        <w:t>oglasa</w:t>
      </w:r>
      <w:r w:rsidRPr="00EB77AD">
        <w:rPr>
          <w:sz w:val="24"/>
          <w:szCs w:val="24"/>
        </w:rPr>
        <w:t xml:space="preserve"> u EOJN </w:t>
      </w:r>
      <w:r w:rsidR="00606696" w:rsidRPr="00EB77AD">
        <w:rPr>
          <w:sz w:val="24"/>
          <w:szCs w:val="24"/>
        </w:rPr>
        <w:t xml:space="preserve"> </w:t>
      </w:r>
      <w:r w:rsidRPr="00EB77AD">
        <w:rPr>
          <w:sz w:val="24"/>
          <w:szCs w:val="24"/>
        </w:rPr>
        <w:t xml:space="preserve">1.244,25 </w:t>
      </w:r>
      <w:r w:rsidR="00606696" w:rsidRPr="00EB77AD">
        <w:rPr>
          <w:sz w:val="24"/>
          <w:szCs w:val="24"/>
        </w:rPr>
        <w:t xml:space="preserve">EUR, komunalne naknade u iznosu od </w:t>
      </w:r>
      <w:r w:rsidRPr="00EB77AD">
        <w:rPr>
          <w:sz w:val="24"/>
          <w:szCs w:val="24"/>
        </w:rPr>
        <w:t>7.912,25</w:t>
      </w:r>
      <w:r w:rsidR="00606696" w:rsidRPr="00EB77AD">
        <w:rPr>
          <w:sz w:val="24"/>
          <w:szCs w:val="24"/>
        </w:rPr>
        <w:t xml:space="preserve"> EUR, zdravstvene i veterinarske usluge u iznosu od </w:t>
      </w:r>
      <w:r w:rsidRPr="00EB77AD">
        <w:rPr>
          <w:sz w:val="24"/>
          <w:szCs w:val="24"/>
        </w:rPr>
        <w:t>1.325,21</w:t>
      </w:r>
      <w:r w:rsidR="00606696" w:rsidRPr="00EB77AD">
        <w:rPr>
          <w:sz w:val="24"/>
          <w:szCs w:val="24"/>
        </w:rPr>
        <w:t xml:space="preserve"> EUR, </w:t>
      </w:r>
      <w:r w:rsidRPr="00EB77AD">
        <w:rPr>
          <w:sz w:val="24"/>
          <w:szCs w:val="24"/>
        </w:rPr>
        <w:t xml:space="preserve">intelektualne usluge – ugovor o djelu 3.665,95 EUR, </w:t>
      </w:r>
      <w:r w:rsidR="00606696" w:rsidRPr="00EB77AD">
        <w:rPr>
          <w:sz w:val="24"/>
          <w:szCs w:val="24"/>
        </w:rPr>
        <w:t xml:space="preserve">ostale usluge u iznosu od  </w:t>
      </w:r>
      <w:r w:rsidRPr="00EB77AD">
        <w:rPr>
          <w:sz w:val="24"/>
          <w:szCs w:val="24"/>
        </w:rPr>
        <w:t>54.193,74</w:t>
      </w:r>
      <w:r w:rsidR="00606696" w:rsidRPr="00EB77AD">
        <w:rPr>
          <w:sz w:val="24"/>
          <w:szCs w:val="24"/>
        </w:rPr>
        <w:t xml:space="preserve"> EUR a odnose se na usluge registracije vozila, usluge žetve, </w:t>
      </w:r>
      <w:r w:rsidRPr="00EB77AD">
        <w:rPr>
          <w:sz w:val="24"/>
          <w:szCs w:val="24"/>
        </w:rPr>
        <w:t xml:space="preserve">usluge vaganja, </w:t>
      </w:r>
      <w:proofErr w:type="spellStart"/>
      <w:r w:rsidRPr="00EB77AD">
        <w:rPr>
          <w:sz w:val="24"/>
          <w:szCs w:val="24"/>
        </w:rPr>
        <w:t>ispumpavanja</w:t>
      </w:r>
      <w:proofErr w:type="spellEnd"/>
      <w:r w:rsidRPr="00EB77AD">
        <w:rPr>
          <w:sz w:val="24"/>
          <w:szCs w:val="24"/>
        </w:rPr>
        <w:t xml:space="preserve"> septičkih jama, usluge analize i čišćenja suncokreta, usluga klanja i vaganja svinja, usluga podrivanja i slično)</w:t>
      </w:r>
    </w:p>
    <w:p w14:paraId="5D4C2FB8" w14:textId="10776EB7" w:rsidR="00606696" w:rsidRPr="00EB77AD" w:rsidRDefault="00606696" w:rsidP="00606696">
      <w:pPr>
        <w:spacing w:after="0"/>
        <w:rPr>
          <w:sz w:val="24"/>
          <w:szCs w:val="24"/>
        </w:rPr>
      </w:pPr>
      <w:r w:rsidRPr="00EB77AD">
        <w:rPr>
          <w:b/>
          <w:bCs/>
          <w:iCs/>
          <w:sz w:val="24"/>
          <w:szCs w:val="24"/>
        </w:rPr>
        <w:t>-ostal</w:t>
      </w:r>
      <w:r w:rsidR="008B68F3" w:rsidRPr="00EB77AD">
        <w:rPr>
          <w:b/>
          <w:bCs/>
          <w:iCs/>
          <w:sz w:val="24"/>
          <w:szCs w:val="24"/>
        </w:rPr>
        <w:t>i</w:t>
      </w:r>
      <w:r w:rsidRPr="00EB77AD">
        <w:rPr>
          <w:b/>
          <w:bCs/>
          <w:iCs/>
          <w:sz w:val="24"/>
          <w:szCs w:val="24"/>
        </w:rPr>
        <w:t xml:space="preserve"> nespomenut</w:t>
      </w:r>
      <w:r w:rsidR="008B68F3" w:rsidRPr="00EB77AD">
        <w:rPr>
          <w:b/>
          <w:bCs/>
          <w:iCs/>
          <w:sz w:val="24"/>
          <w:szCs w:val="24"/>
        </w:rPr>
        <w:t>i rashodi</w:t>
      </w:r>
      <w:r w:rsidRPr="00EB77AD">
        <w:rPr>
          <w:b/>
          <w:bCs/>
          <w:iCs/>
          <w:sz w:val="24"/>
          <w:szCs w:val="24"/>
        </w:rPr>
        <w:t xml:space="preserve"> </w:t>
      </w:r>
      <w:r w:rsidRPr="00EB77AD">
        <w:rPr>
          <w:iCs/>
          <w:sz w:val="24"/>
          <w:szCs w:val="24"/>
        </w:rPr>
        <w:t xml:space="preserve">planirani su u iznosu </w:t>
      </w:r>
      <w:r w:rsidR="008B68F3" w:rsidRPr="00EB77AD">
        <w:rPr>
          <w:iCs/>
          <w:sz w:val="24"/>
          <w:szCs w:val="24"/>
        </w:rPr>
        <w:t>101.550</w:t>
      </w:r>
      <w:r w:rsidRPr="00EB77AD">
        <w:rPr>
          <w:iCs/>
          <w:sz w:val="24"/>
          <w:szCs w:val="24"/>
        </w:rPr>
        <w:t>,00</w:t>
      </w:r>
      <w:r w:rsidRPr="00EB77AD">
        <w:rPr>
          <w:sz w:val="24"/>
          <w:szCs w:val="24"/>
        </w:rPr>
        <w:t xml:space="preserve"> EUR, a izvršeni su u iznosu od </w:t>
      </w:r>
      <w:r w:rsidR="008B68F3" w:rsidRPr="00EB77AD">
        <w:rPr>
          <w:iCs/>
          <w:sz w:val="24"/>
          <w:szCs w:val="24"/>
        </w:rPr>
        <w:t>101.380,18</w:t>
      </w:r>
      <w:r w:rsidRPr="00EB77AD">
        <w:rPr>
          <w:iCs/>
          <w:sz w:val="24"/>
          <w:szCs w:val="24"/>
        </w:rPr>
        <w:t xml:space="preserve"> EUR</w:t>
      </w:r>
      <w:r w:rsidRPr="00EB77AD">
        <w:rPr>
          <w:sz w:val="24"/>
          <w:szCs w:val="24"/>
        </w:rPr>
        <w:t xml:space="preserve">, odnosno </w:t>
      </w:r>
      <w:r w:rsidR="008B68F3" w:rsidRPr="00EB77AD">
        <w:rPr>
          <w:sz w:val="24"/>
          <w:szCs w:val="24"/>
        </w:rPr>
        <w:t>99,83</w:t>
      </w:r>
      <w:r w:rsidRPr="00EB77AD">
        <w:rPr>
          <w:sz w:val="24"/>
          <w:szCs w:val="24"/>
        </w:rPr>
        <w:t>%</w:t>
      </w:r>
      <w:r w:rsidRPr="00EB77AD">
        <w:rPr>
          <w:b/>
          <w:bCs/>
          <w:iCs/>
          <w:sz w:val="24"/>
          <w:szCs w:val="24"/>
        </w:rPr>
        <w:t xml:space="preserve"> (</w:t>
      </w:r>
      <w:r w:rsidRPr="00EB77AD">
        <w:rPr>
          <w:sz w:val="24"/>
          <w:szCs w:val="24"/>
        </w:rPr>
        <w:t xml:space="preserve">za naknade za rad zatvorenika </w:t>
      </w:r>
      <w:r w:rsidR="008B68F3" w:rsidRPr="00EB77AD">
        <w:rPr>
          <w:sz w:val="24"/>
          <w:szCs w:val="24"/>
        </w:rPr>
        <w:t>66.200,19</w:t>
      </w:r>
      <w:r w:rsidRPr="00EB77AD">
        <w:rPr>
          <w:sz w:val="24"/>
          <w:szCs w:val="24"/>
        </w:rPr>
        <w:t xml:space="preserve"> EUR, osiguranje prijevoznih sredstava </w:t>
      </w:r>
      <w:r w:rsidR="008B68F3" w:rsidRPr="00EB77AD">
        <w:rPr>
          <w:sz w:val="24"/>
          <w:szCs w:val="24"/>
        </w:rPr>
        <w:t>i usjeva 32.428,32</w:t>
      </w:r>
      <w:r w:rsidRPr="00EB77AD">
        <w:rPr>
          <w:sz w:val="24"/>
          <w:szCs w:val="24"/>
        </w:rPr>
        <w:t xml:space="preserve"> EUR, reprezentaciju </w:t>
      </w:r>
      <w:r w:rsidR="008B68F3" w:rsidRPr="00EB77AD">
        <w:rPr>
          <w:sz w:val="24"/>
          <w:szCs w:val="24"/>
        </w:rPr>
        <w:t>2.227,93</w:t>
      </w:r>
      <w:r w:rsidRPr="00EB77AD">
        <w:rPr>
          <w:sz w:val="24"/>
          <w:szCs w:val="24"/>
        </w:rPr>
        <w:t xml:space="preserve"> EUR,  ostali nespomenuti rashodi poslovanja </w:t>
      </w:r>
      <w:r w:rsidR="008B68F3" w:rsidRPr="00EB77AD">
        <w:rPr>
          <w:sz w:val="24"/>
          <w:szCs w:val="24"/>
        </w:rPr>
        <w:t>523,74</w:t>
      </w:r>
      <w:r w:rsidRPr="00EB77AD">
        <w:rPr>
          <w:sz w:val="24"/>
          <w:szCs w:val="24"/>
        </w:rPr>
        <w:t xml:space="preserve"> €)</w:t>
      </w:r>
    </w:p>
    <w:p w14:paraId="50DF276A" w14:textId="1BF7F70C" w:rsidR="00EB77AD" w:rsidRPr="00EB77AD" w:rsidRDefault="00EB77AD" w:rsidP="00606696">
      <w:pPr>
        <w:spacing w:after="0"/>
        <w:rPr>
          <w:sz w:val="24"/>
          <w:szCs w:val="24"/>
        </w:rPr>
      </w:pPr>
    </w:p>
    <w:p w14:paraId="684DFEC8" w14:textId="77777777" w:rsidR="00EB77AD" w:rsidRPr="00EB77AD" w:rsidRDefault="00EB77AD" w:rsidP="00EB77AD">
      <w:pPr>
        <w:spacing w:after="0"/>
        <w:rPr>
          <w:sz w:val="24"/>
          <w:szCs w:val="24"/>
        </w:rPr>
      </w:pPr>
      <w:r w:rsidRPr="00EB77AD">
        <w:rPr>
          <w:b/>
          <w:sz w:val="24"/>
          <w:szCs w:val="24"/>
        </w:rPr>
        <w:t xml:space="preserve">34 Financijski rashodi </w:t>
      </w:r>
      <w:r w:rsidRPr="00EB77AD">
        <w:rPr>
          <w:sz w:val="24"/>
          <w:szCs w:val="24"/>
        </w:rPr>
        <w:t xml:space="preserve">- </w:t>
      </w:r>
      <w:r w:rsidRPr="00EB77AD">
        <w:rPr>
          <w:iCs/>
          <w:sz w:val="24"/>
          <w:szCs w:val="24"/>
        </w:rPr>
        <w:t>planirani su u iznosu 3.300,00</w:t>
      </w:r>
      <w:r w:rsidRPr="00EB77AD">
        <w:rPr>
          <w:sz w:val="24"/>
          <w:szCs w:val="24"/>
        </w:rPr>
        <w:t xml:space="preserve"> EUR, a izvršeni su u iznosu od </w:t>
      </w:r>
      <w:r w:rsidRPr="00EB77AD">
        <w:rPr>
          <w:iCs/>
          <w:sz w:val="24"/>
          <w:szCs w:val="24"/>
        </w:rPr>
        <w:t>3.287,72 EUR</w:t>
      </w:r>
      <w:r w:rsidRPr="00EB77AD">
        <w:rPr>
          <w:sz w:val="24"/>
          <w:szCs w:val="24"/>
        </w:rPr>
        <w:t>, odnosno 99,63 %.</w:t>
      </w:r>
    </w:p>
    <w:p w14:paraId="12CD47F3" w14:textId="77777777" w:rsidR="00EB77AD" w:rsidRPr="00EB77AD" w:rsidRDefault="00EB77AD" w:rsidP="00606696">
      <w:pPr>
        <w:spacing w:after="0"/>
        <w:rPr>
          <w:sz w:val="24"/>
          <w:szCs w:val="24"/>
        </w:rPr>
      </w:pPr>
    </w:p>
    <w:p w14:paraId="4ECF8959" w14:textId="77777777" w:rsidR="00606696" w:rsidRPr="00EB77AD" w:rsidRDefault="00606696" w:rsidP="00606696">
      <w:pPr>
        <w:spacing w:after="0"/>
        <w:rPr>
          <w:sz w:val="24"/>
          <w:szCs w:val="24"/>
        </w:rPr>
      </w:pPr>
    </w:p>
    <w:p w14:paraId="7CA27C6A" w14:textId="3AA54081" w:rsidR="00EB77AD" w:rsidRPr="00EB77AD" w:rsidRDefault="00EB77AD" w:rsidP="00EB77AD">
      <w:pPr>
        <w:spacing w:after="0"/>
        <w:rPr>
          <w:b/>
          <w:bCs/>
          <w:iCs/>
          <w:sz w:val="24"/>
          <w:szCs w:val="24"/>
        </w:rPr>
      </w:pPr>
      <w:r w:rsidRPr="00EB77AD">
        <w:rPr>
          <w:b/>
          <w:sz w:val="24"/>
          <w:szCs w:val="24"/>
        </w:rPr>
        <w:t>42 Rashodi za nabavu proizvedene dugotrajne imovine</w:t>
      </w:r>
      <w:r w:rsidRPr="00EB77AD">
        <w:rPr>
          <w:b/>
          <w:bCs/>
          <w:iCs/>
          <w:sz w:val="24"/>
          <w:szCs w:val="24"/>
        </w:rPr>
        <w:t xml:space="preserve"> - </w:t>
      </w:r>
      <w:r w:rsidRPr="00EB77AD">
        <w:rPr>
          <w:iCs/>
          <w:sz w:val="24"/>
          <w:szCs w:val="24"/>
        </w:rPr>
        <w:t>planirani su u iznosu 35.434,00</w:t>
      </w:r>
      <w:r w:rsidRPr="00EB77AD">
        <w:rPr>
          <w:sz w:val="24"/>
          <w:szCs w:val="24"/>
        </w:rPr>
        <w:t xml:space="preserve"> EUR, a izvršeni su u iznosu od </w:t>
      </w:r>
      <w:r w:rsidRPr="00EB77AD">
        <w:rPr>
          <w:iCs/>
          <w:sz w:val="24"/>
          <w:szCs w:val="24"/>
        </w:rPr>
        <w:t>30.755,13 EUR</w:t>
      </w:r>
      <w:r w:rsidRPr="00EB77AD">
        <w:rPr>
          <w:sz w:val="24"/>
          <w:szCs w:val="24"/>
        </w:rPr>
        <w:t xml:space="preserve">, odnosno 44,24 % (uredski namještaj u iznosu 750,0 EUR, vaga brojalica, </w:t>
      </w:r>
      <w:proofErr w:type="spellStart"/>
      <w:r w:rsidRPr="00EB77AD">
        <w:rPr>
          <w:sz w:val="24"/>
          <w:szCs w:val="24"/>
        </w:rPr>
        <w:t>freza</w:t>
      </w:r>
      <w:proofErr w:type="spellEnd"/>
      <w:r w:rsidRPr="00EB77AD">
        <w:rPr>
          <w:sz w:val="24"/>
          <w:szCs w:val="24"/>
        </w:rPr>
        <w:t xml:space="preserve"> za kanale i pumpa u iznosu 4.734,24 EUR, termos lonci, plastenik, tračna pila, parna jedinica, hladnjak, </w:t>
      </w:r>
      <w:proofErr w:type="spellStart"/>
      <w:r w:rsidRPr="00EB77AD">
        <w:rPr>
          <w:sz w:val="24"/>
          <w:szCs w:val="24"/>
        </w:rPr>
        <w:t>aku</w:t>
      </w:r>
      <w:proofErr w:type="spellEnd"/>
      <w:r w:rsidRPr="00EB77AD">
        <w:rPr>
          <w:sz w:val="24"/>
          <w:szCs w:val="24"/>
        </w:rPr>
        <w:t xml:space="preserve"> set i specijalna kamera u ukupnom iznosu </w:t>
      </w:r>
      <w:r w:rsidRPr="00EB77AD">
        <w:rPr>
          <w:sz w:val="24"/>
          <w:szCs w:val="24"/>
        </w:rPr>
        <w:lastRenderedPageBreak/>
        <w:t>25.261,89 EUR i osnovno stado u iznosu 1.200,00 EUR te dodatna ulaganja na plasteniku u iznosu 2.365,37 EUR).</w:t>
      </w:r>
    </w:p>
    <w:p w14:paraId="16ACDC2E" w14:textId="4114096F" w:rsidR="00606696" w:rsidRPr="00EB77AD" w:rsidRDefault="00606696" w:rsidP="00606696">
      <w:pPr>
        <w:spacing w:after="0"/>
        <w:rPr>
          <w:sz w:val="24"/>
          <w:szCs w:val="24"/>
        </w:rPr>
      </w:pPr>
    </w:p>
    <w:p w14:paraId="6CAE7B2A" w14:textId="3A38A0B1" w:rsidR="00EB77AD" w:rsidRPr="00EB77AD" w:rsidRDefault="00EB77AD" w:rsidP="00EB77AD">
      <w:pPr>
        <w:spacing w:after="0"/>
        <w:rPr>
          <w:sz w:val="24"/>
          <w:szCs w:val="24"/>
        </w:rPr>
      </w:pPr>
      <w:r w:rsidRPr="00EB77AD">
        <w:rPr>
          <w:b/>
          <w:sz w:val="24"/>
          <w:szCs w:val="24"/>
        </w:rPr>
        <w:t>45 Rashodi za dodatna ulaganja na nefinancijskoj imovini</w:t>
      </w:r>
      <w:r w:rsidRPr="00EB77AD">
        <w:rPr>
          <w:sz w:val="24"/>
          <w:szCs w:val="24"/>
        </w:rPr>
        <w:t xml:space="preserve"> – </w:t>
      </w:r>
      <w:r w:rsidRPr="00EB77AD">
        <w:rPr>
          <w:iCs/>
          <w:sz w:val="24"/>
          <w:szCs w:val="24"/>
        </w:rPr>
        <w:t xml:space="preserve">planirani su u iznosu </w:t>
      </w:r>
      <w:r w:rsidRPr="00EB77AD">
        <w:rPr>
          <w:iCs/>
          <w:sz w:val="24"/>
          <w:szCs w:val="24"/>
        </w:rPr>
        <w:t>2.370,00</w:t>
      </w:r>
      <w:r w:rsidRPr="00EB77AD">
        <w:rPr>
          <w:sz w:val="24"/>
          <w:szCs w:val="24"/>
        </w:rPr>
        <w:t xml:space="preserve"> EUR, a izvršeni su u iznosu od </w:t>
      </w:r>
      <w:r w:rsidRPr="00EB77AD">
        <w:rPr>
          <w:iCs/>
          <w:sz w:val="24"/>
          <w:szCs w:val="24"/>
        </w:rPr>
        <w:t>2.365,37</w:t>
      </w:r>
      <w:r w:rsidRPr="00EB77AD">
        <w:rPr>
          <w:iCs/>
          <w:sz w:val="24"/>
          <w:szCs w:val="24"/>
        </w:rPr>
        <w:t xml:space="preserve"> EUR</w:t>
      </w:r>
      <w:r w:rsidRPr="00EB77AD">
        <w:rPr>
          <w:sz w:val="24"/>
          <w:szCs w:val="24"/>
        </w:rPr>
        <w:t xml:space="preserve">, odnosno </w:t>
      </w:r>
      <w:r w:rsidRPr="00EB77AD">
        <w:rPr>
          <w:sz w:val="24"/>
          <w:szCs w:val="24"/>
        </w:rPr>
        <w:t>99,80</w:t>
      </w:r>
      <w:r w:rsidRPr="00EB77AD">
        <w:rPr>
          <w:sz w:val="24"/>
          <w:szCs w:val="24"/>
        </w:rPr>
        <w:t xml:space="preserve"> % (</w:t>
      </w:r>
      <w:r w:rsidRPr="00EB77AD">
        <w:rPr>
          <w:sz w:val="24"/>
          <w:szCs w:val="24"/>
        </w:rPr>
        <w:t xml:space="preserve">odnose se na </w:t>
      </w:r>
      <w:r w:rsidRPr="00EB77AD">
        <w:rPr>
          <w:sz w:val="24"/>
          <w:szCs w:val="24"/>
        </w:rPr>
        <w:t>dodatna ulaganja na plasteniku u iznosu).</w:t>
      </w:r>
    </w:p>
    <w:p w14:paraId="38BAADE8" w14:textId="4F1D5C8F" w:rsidR="00EB77AD" w:rsidRPr="00EB77AD" w:rsidRDefault="00EB77AD" w:rsidP="00606696">
      <w:pPr>
        <w:spacing w:after="0"/>
        <w:rPr>
          <w:sz w:val="24"/>
          <w:szCs w:val="24"/>
        </w:rPr>
      </w:pPr>
    </w:p>
    <w:p w14:paraId="3474C9AB" w14:textId="7F69784A" w:rsidR="00EB77AD" w:rsidRPr="00EB77AD" w:rsidRDefault="00EB77AD" w:rsidP="00606696">
      <w:pPr>
        <w:spacing w:after="0"/>
        <w:rPr>
          <w:sz w:val="24"/>
          <w:szCs w:val="24"/>
        </w:rPr>
      </w:pPr>
    </w:p>
    <w:p w14:paraId="737409D3" w14:textId="1FC1616C" w:rsidR="00EB77AD" w:rsidRPr="00EB77AD" w:rsidRDefault="00EB77AD" w:rsidP="00EB77AD">
      <w:pPr>
        <w:spacing w:after="160"/>
        <w:rPr>
          <w:b/>
          <w:bCs/>
          <w:sz w:val="24"/>
          <w:szCs w:val="24"/>
          <w:u w:val="single"/>
        </w:rPr>
      </w:pPr>
      <w:r w:rsidRPr="00EB77AD">
        <w:rPr>
          <w:b/>
          <w:bCs/>
          <w:sz w:val="24"/>
          <w:szCs w:val="24"/>
          <w:u w:val="single"/>
        </w:rPr>
        <w:t xml:space="preserve">Izvor </w:t>
      </w:r>
      <w:r w:rsidRPr="00EB77AD">
        <w:rPr>
          <w:b/>
          <w:bCs/>
          <w:sz w:val="24"/>
          <w:szCs w:val="24"/>
          <w:u w:val="single"/>
        </w:rPr>
        <w:t>43</w:t>
      </w:r>
    </w:p>
    <w:p w14:paraId="58C32867" w14:textId="74B41766" w:rsidR="00EB77AD" w:rsidRPr="00EB77AD" w:rsidRDefault="00EB77AD" w:rsidP="00EB77AD">
      <w:pPr>
        <w:spacing w:after="160"/>
        <w:rPr>
          <w:b/>
          <w:bCs/>
          <w:sz w:val="24"/>
          <w:szCs w:val="24"/>
          <w:u w:val="single"/>
        </w:rPr>
      </w:pPr>
      <w:r w:rsidRPr="00EB77AD">
        <w:rPr>
          <w:sz w:val="24"/>
          <w:szCs w:val="24"/>
        </w:rPr>
        <w:t xml:space="preserve">Za podmirenje rashoda ostvareni su prihodi od </w:t>
      </w:r>
      <w:r w:rsidRPr="00EB77AD">
        <w:rPr>
          <w:sz w:val="24"/>
          <w:szCs w:val="24"/>
        </w:rPr>
        <w:t>temeljem naplaćenih šteta po nastalim događajima (uginuća za svinje, šteta na usjevima) od osiguravajuće kuće</w:t>
      </w:r>
      <w:r w:rsidRPr="00EB77AD">
        <w:rPr>
          <w:sz w:val="24"/>
          <w:szCs w:val="24"/>
        </w:rPr>
        <w:t>.</w:t>
      </w:r>
    </w:p>
    <w:p w14:paraId="27C6D2B0" w14:textId="376167A2" w:rsidR="00EB77AD" w:rsidRPr="00EB77AD" w:rsidRDefault="00EB77AD" w:rsidP="00EB77AD">
      <w:pPr>
        <w:spacing w:after="0"/>
        <w:rPr>
          <w:sz w:val="24"/>
          <w:szCs w:val="24"/>
        </w:rPr>
      </w:pPr>
      <w:r w:rsidRPr="00EB77AD">
        <w:rPr>
          <w:b/>
          <w:sz w:val="24"/>
          <w:szCs w:val="24"/>
        </w:rPr>
        <w:t>32 Materijalni rashodi</w:t>
      </w:r>
      <w:r w:rsidRPr="00EB77AD">
        <w:rPr>
          <w:sz w:val="24"/>
          <w:szCs w:val="24"/>
        </w:rPr>
        <w:t xml:space="preserve">  - </w:t>
      </w:r>
      <w:r w:rsidRPr="00EB77AD">
        <w:rPr>
          <w:bCs/>
          <w:sz w:val="24"/>
          <w:szCs w:val="24"/>
        </w:rPr>
        <w:t>planirana su sredstva za</w:t>
      </w:r>
      <w:r w:rsidRPr="00EB77AD">
        <w:rPr>
          <w:b/>
          <w:sz w:val="24"/>
          <w:szCs w:val="24"/>
        </w:rPr>
        <w:t xml:space="preserve"> materijalne rashode u 2023. godini </w:t>
      </w:r>
      <w:r w:rsidRPr="00EB77AD">
        <w:rPr>
          <w:bCs/>
          <w:sz w:val="24"/>
          <w:szCs w:val="24"/>
        </w:rPr>
        <w:t>u iznosu od</w:t>
      </w:r>
      <w:r w:rsidRPr="00EB77AD">
        <w:rPr>
          <w:b/>
          <w:sz w:val="24"/>
          <w:szCs w:val="24"/>
        </w:rPr>
        <w:t xml:space="preserve"> </w:t>
      </w:r>
      <w:r w:rsidRPr="00EB77AD">
        <w:rPr>
          <w:b/>
          <w:sz w:val="24"/>
          <w:szCs w:val="24"/>
        </w:rPr>
        <w:t>33.100,0</w:t>
      </w:r>
      <w:r w:rsidRPr="00EB77AD">
        <w:rPr>
          <w:b/>
          <w:sz w:val="24"/>
          <w:szCs w:val="24"/>
        </w:rPr>
        <w:t xml:space="preserve">0 EUR, </w:t>
      </w:r>
      <w:r w:rsidRPr="00EB77AD">
        <w:rPr>
          <w:sz w:val="24"/>
          <w:szCs w:val="24"/>
        </w:rPr>
        <w:t xml:space="preserve">a izvršeni su u iznosu </w:t>
      </w:r>
      <w:r w:rsidRPr="00EB77AD">
        <w:rPr>
          <w:b/>
          <w:bCs/>
          <w:sz w:val="24"/>
          <w:szCs w:val="24"/>
        </w:rPr>
        <w:t>33.086,33</w:t>
      </w:r>
      <w:r w:rsidRPr="00EB77AD">
        <w:rPr>
          <w:b/>
          <w:bCs/>
          <w:sz w:val="24"/>
          <w:szCs w:val="24"/>
        </w:rPr>
        <w:t xml:space="preserve"> EUR</w:t>
      </w:r>
      <w:r w:rsidRPr="00EB77AD">
        <w:rPr>
          <w:sz w:val="24"/>
          <w:szCs w:val="24"/>
        </w:rPr>
        <w:t>, odnosno 99,</w:t>
      </w:r>
      <w:r w:rsidRPr="00EB77AD">
        <w:rPr>
          <w:sz w:val="24"/>
          <w:szCs w:val="24"/>
        </w:rPr>
        <w:t>96</w:t>
      </w:r>
      <w:r w:rsidRPr="00EB77AD">
        <w:rPr>
          <w:sz w:val="24"/>
          <w:szCs w:val="24"/>
        </w:rPr>
        <w:t xml:space="preserve"> % u odnosu na plan, </w:t>
      </w:r>
      <w:r w:rsidRPr="00EB77AD">
        <w:rPr>
          <w:sz w:val="24"/>
          <w:szCs w:val="24"/>
        </w:rPr>
        <w:t xml:space="preserve">a odnose se na </w:t>
      </w:r>
      <w:r w:rsidRPr="00EB77AD">
        <w:rPr>
          <w:bCs/>
          <w:iCs/>
          <w:sz w:val="24"/>
          <w:szCs w:val="24"/>
        </w:rPr>
        <w:t>rashode za kupnju repromaterijala i hrane za životinje.</w:t>
      </w:r>
    </w:p>
    <w:p w14:paraId="6CB8A655" w14:textId="77777777" w:rsidR="00EB77AD" w:rsidRPr="00CD2D1A" w:rsidRDefault="00EB77AD" w:rsidP="00EB77AD">
      <w:pPr>
        <w:spacing w:after="160"/>
        <w:rPr>
          <w:b/>
          <w:bCs/>
          <w:u w:val="single"/>
        </w:rPr>
      </w:pPr>
    </w:p>
    <w:p w14:paraId="0C38A08D" w14:textId="77777777" w:rsidR="00EB77AD" w:rsidRDefault="00EB77AD" w:rsidP="00606696">
      <w:pPr>
        <w:spacing w:after="0"/>
      </w:pPr>
    </w:p>
    <w:p w14:paraId="00877C2C" w14:textId="77777777" w:rsidR="00606696" w:rsidRDefault="00606696" w:rsidP="00606696">
      <w:pPr>
        <w:spacing w:after="0"/>
      </w:pPr>
    </w:p>
    <w:p w14:paraId="68B364F2" w14:textId="77777777" w:rsidR="00606696" w:rsidRPr="00CD2D1A" w:rsidRDefault="00606696" w:rsidP="00606696">
      <w:pPr>
        <w:spacing w:after="160"/>
        <w:rPr>
          <w:b/>
          <w:bCs/>
          <w:u w:val="single"/>
        </w:rPr>
      </w:pPr>
      <w:r w:rsidRPr="00CD2D1A">
        <w:rPr>
          <w:b/>
          <w:bCs/>
          <w:u w:val="single"/>
        </w:rPr>
        <w:t>Izvor 52</w:t>
      </w:r>
    </w:p>
    <w:p w14:paraId="45348443" w14:textId="09828E32" w:rsidR="00606696" w:rsidRDefault="00606696" w:rsidP="00606696">
      <w:pPr>
        <w:spacing w:after="0"/>
      </w:pPr>
      <w:r w:rsidRPr="00DF38AE">
        <w:t>Planiran</w:t>
      </w:r>
      <w:r>
        <w:t xml:space="preserve">i prihodi </w:t>
      </w:r>
      <w:r w:rsidRPr="00DF38AE">
        <w:t xml:space="preserve"> u 202</w:t>
      </w:r>
      <w:r>
        <w:t>3</w:t>
      </w:r>
      <w:r w:rsidRPr="00DF38AE">
        <w:t xml:space="preserve">. godini iznose </w:t>
      </w:r>
      <w:r w:rsidR="00EB77AD">
        <w:t xml:space="preserve">107.000,00 </w:t>
      </w:r>
      <w:r>
        <w:t>EUR,</w:t>
      </w:r>
      <w:r w:rsidRPr="00C95907">
        <w:t xml:space="preserve"> </w:t>
      </w:r>
      <w:r>
        <w:t xml:space="preserve">a izvršeni su u iznosu od </w:t>
      </w:r>
      <w:r w:rsidR="00EB77AD">
        <w:rPr>
          <w:i/>
          <w:iCs/>
        </w:rPr>
        <w:t>106.927,62</w:t>
      </w:r>
      <w:r w:rsidRPr="00A64CBE">
        <w:rPr>
          <w:i/>
          <w:iCs/>
        </w:rPr>
        <w:t xml:space="preserve"> EUR</w:t>
      </w:r>
      <w:r>
        <w:t xml:space="preserve">, odnosno </w:t>
      </w:r>
      <w:r w:rsidR="00EB77AD">
        <w:t>99,93</w:t>
      </w:r>
      <w:r>
        <w:t xml:space="preserve"> % (ostvareni putem APPRR-a s osnove poticaja u poljoprivredi i to tekući prijenosi između proračunskih korisnika istog proračuna u iznosu </w:t>
      </w:r>
      <w:r w:rsidR="00EB77AD">
        <w:t>35.024,81</w:t>
      </w:r>
      <w:r>
        <w:t xml:space="preserve"> EUR, tekući prijenosi između proračunskih korisnika istog  proračuna temeljem prijenosa EU sredstava u iznosu </w:t>
      </w:r>
      <w:r w:rsidR="00EB77AD">
        <w:t>71.902,80</w:t>
      </w:r>
      <w:r>
        <w:t xml:space="preserve"> EUR).</w:t>
      </w:r>
    </w:p>
    <w:p w14:paraId="0AC2D64F" w14:textId="77777777" w:rsidR="00606696" w:rsidRDefault="00606696" w:rsidP="00606696">
      <w:pPr>
        <w:spacing w:after="0"/>
      </w:pPr>
    </w:p>
    <w:p w14:paraId="7E8BB6AD" w14:textId="3A3F7E8C" w:rsidR="00EB77AD" w:rsidRPr="00EB77AD" w:rsidRDefault="00EB77AD" w:rsidP="00EB77AD">
      <w:pPr>
        <w:spacing w:after="0"/>
        <w:rPr>
          <w:sz w:val="24"/>
          <w:szCs w:val="24"/>
        </w:rPr>
      </w:pPr>
      <w:r w:rsidRPr="00EB77AD">
        <w:rPr>
          <w:b/>
          <w:sz w:val="24"/>
          <w:szCs w:val="24"/>
        </w:rPr>
        <w:t>32 Materijalni rashodi</w:t>
      </w:r>
      <w:r w:rsidRPr="00EB77AD">
        <w:rPr>
          <w:sz w:val="24"/>
          <w:szCs w:val="24"/>
        </w:rPr>
        <w:t xml:space="preserve">  - </w:t>
      </w:r>
      <w:r w:rsidRPr="00EB77AD">
        <w:rPr>
          <w:bCs/>
          <w:sz w:val="24"/>
          <w:szCs w:val="24"/>
        </w:rPr>
        <w:t>planirana su sredstva za</w:t>
      </w:r>
      <w:r w:rsidRPr="00EB77AD">
        <w:rPr>
          <w:b/>
          <w:sz w:val="24"/>
          <w:szCs w:val="24"/>
        </w:rPr>
        <w:t xml:space="preserve"> materijalne rashode u 2023. godini </w:t>
      </w:r>
      <w:r w:rsidRPr="00EB77AD">
        <w:rPr>
          <w:bCs/>
          <w:sz w:val="24"/>
          <w:szCs w:val="24"/>
        </w:rPr>
        <w:t>u iznosu od</w:t>
      </w:r>
      <w:r w:rsidRPr="00EB77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107.000</w:t>
      </w:r>
      <w:r w:rsidRPr="00EB77AD">
        <w:rPr>
          <w:b/>
          <w:sz w:val="24"/>
          <w:szCs w:val="24"/>
        </w:rPr>
        <w:t xml:space="preserve">,00 EUR, </w:t>
      </w:r>
      <w:r w:rsidRPr="00EB77AD">
        <w:rPr>
          <w:sz w:val="24"/>
          <w:szCs w:val="24"/>
        </w:rPr>
        <w:t xml:space="preserve">a izvršeni su u iznosu </w:t>
      </w:r>
      <w:r w:rsidR="00C46314">
        <w:rPr>
          <w:b/>
          <w:bCs/>
          <w:sz w:val="24"/>
          <w:szCs w:val="24"/>
        </w:rPr>
        <w:t>106.927,62</w:t>
      </w:r>
      <w:r w:rsidRPr="00EB77AD">
        <w:rPr>
          <w:b/>
          <w:bCs/>
          <w:sz w:val="24"/>
          <w:szCs w:val="24"/>
        </w:rPr>
        <w:t xml:space="preserve"> EUR</w:t>
      </w:r>
      <w:r w:rsidRPr="00EB77AD">
        <w:rPr>
          <w:sz w:val="24"/>
          <w:szCs w:val="24"/>
        </w:rPr>
        <w:t>, odnosno 99,</w:t>
      </w:r>
      <w:r w:rsidR="00C46314">
        <w:rPr>
          <w:sz w:val="24"/>
          <w:szCs w:val="24"/>
        </w:rPr>
        <w:t>93</w:t>
      </w:r>
      <w:r w:rsidRPr="00EB77AD">
        <w:rPr>
          <w:sz w:val="24"/>
          <w:szCs w:val="24"/>
        </w:rPr>
        <w:t xml:space="preserve"> % u odnosu na plan, a odnose se na </w:t>
      </w:r>
      <w:r w:rsidRPr="00EB77AD">
        <w:rPr>
          <w:bCs/>
          <w:iCs/>
          <w:sz w:val="24"/>
          <w:szCs w:val="24"/>
        </w:rPr>
        <w:t>rashode za kupnju repromaterijala i hrane za životinje.</w:t>
      </w:r>
    </w:p>
    <w:p w14:paraId="3F95784B" w14:textId="30E6978D" w:rsidR="006F1566" w:rsidRPr="00C41928" w:rsidRDefault="006F1566" w:rsidP="006F1566">
      <w:pPr>
        <w:rPr>
          <w:szCs w:val="22"/>
        </w:rPr>
      </w:pPr>
      <w:bookmarkStart w:id="3" w:name="_GoBack"/>
      <w:bookmarkEnd w:id="3"/>
    </w:p>
    <w:sectPr w:rsidR="006F1566" w:rsidRPr="00C41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F3552"/>
    <w:multiLevelType w:val="hybridMultilevel"/>
    <w:tmpl w:val="14AA065C"/>
    <w:lvl w:ilvl="0" w:tplc="02A0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DA"/>
    <w:rsid w:val="00016131"/>
    <w:rsid w:val="000208AF"/>
    <w:rsid w:val="00082BE5"/>
    <w:rsid w:val="000A4D6A"/>
    <w:rsid w:val="000B1CBD"/>
    <w:rsid w:val="000F7AF5"/>
    <w:rsid w:val="00102F7C"/>
    <w:rsid w:val="00105318"/>
    <w:rsid w:val="001247E6"/>
    <w:rsid w:val="00125808"/>
    <w:rsid w:val="00127057"/>
    <w:rsid w:val="001B2B24"/>
    <w:rsid w:val="001C051D"/>
    <w:rsid w:val="001C06AC"/>
    <w:rsid w:val="001E76CC"/>
    <w:rsid w:val="00203EDE"/>
    <w:rsid w:val="00245BD6"/>
    <w:rsid w:val="00246D08"/>
    <w:rsid w:val="002671F3"/>
    <w:rsid w:val="002847E9"/>
    <w:rsid w:val="002C2C31"/>
    <w:rsid w:val="002E19EB"/>
    <w:rsid w:val="002E40C8"/>
    <w:rsid w:val="002F26AE"/>
    <w:rsid w:val="003373FB"/>
    <w:rsid w:val="003666A2"/>
    <w:rsid w:val="003E5E94"/>
    <w:rsid w:val="003E76DC"/>
    <w:rsid w:val="003F65D4"/>
    <w:rsid w:val="00406F17"/>
    <w:rsid w:val="00420ACA"/>
    <w:rsid w:val="00423984"/>
    <w:rsid w:val="00436E91"/>
    <w:rsid w:val="00447C90"/>
    <w:rsid w:val="004A5EAF"/>
    <w:rsid w:val="004B3431"/>
    <w:rsid w:val="004F0CE3"/>
    <w:rsid w:val="0053119B"/>
    <w:rsid w:val="00545A38"/>
    <w:rsid w:val="005473BC"/>
    <w:rsid w:val="00562D8E"/>
    <w:rsid w:val="005D412F"/>
    <w:rsid w:val="005D5653"/>
    <w:rsid w:val="005E7265"/>
    <w:rsid w:val="005F294D"/>
    <w:rsid w:val="00606696"/>
    <w:rsid w:val="0061283E"/>
    <w:rsid w:val="00626790"/>
    <w:rsid w:val="00642B64"/>
    <w:rsid w:val="0064430F"/>
    <w:rsid w:val="00682EA5"/>
    <w:rsid w:val="00685702"/>
    <w:rsid w:val="006B30D5"/>
    <w:rsid w:val="006F1566"/>
    <w:rsid w:val="006F5BFA"/>
    <w:rsid w:val="00702E47"/>
    <w:rsid w:val="00715421"/>
    <w:rsid w:val="007246B2"/>
    <w:rsid w:val="00730819"/>
    <w:rsid w:val="007330EB"/>
    <w:rsid w:val="00747AE5"/>
    <w:rsid w:val="007751BE"/>
    <w:rsid w:val="00780A30"/>
    <w:rsid w:val="0079156F"/>
    <w:rsid w:val="00792DAE"/>
    <w:rsid w:val="007B2A73"/>
    <w:rsid w:val="007B770D"/>
    <w:rsid w:val="007C25AF"/>
    <w:rsid w:val="007D4E0C"/>
    <w:rsid w:val="00802E9F"/>
    <w:rsid w:val="00846638"/>
    <w:rsid w:val="0085497A"/>
    <w:rsid w:val="00883561"/>
    <w:rsid w:val="008B68BC"/>
    <w:rsid w:val="008B68F3"/>
    <w:rsid w:val="008D3652"/>
    <w:rsid w:val="008D620A"/>
    <w:rsid w:val="008E11DA"/>
    <w:rsid w:val="008F1913"/>
    <w:rsid w:val="008F4791"/>
    <w:rsid w:val="008F7B70"/>
    <w:rsid w:val="00907DE9"/>
    <w:rsid w:val="00944E93"/>
    <w:rsid w:val="00946E6E"/>
    <w:rsid w:val="00961E62"/>
    <w:rsid w:val="0097572C"/>
    <w:rsid w:val="00983755"/>
    <w:rsid w:val="0098542F"/>
    <w:rsid w:val="009C78B2"/>
    <w:rsid w:val="00A52EED"/>
    <w:rsid w:val="00A56673"/>
    <w:rsid w:val="00A647C0"/>
    <w:rsid w:val="00A92045"/>
    <w:rsid w:val="00AA7B1C"/>
    <w:rsid w:val="00AF2147"/>
    <w:rsid w:val="00B141F6"/>
    <w:rsid w:val="00B16197"/>
    <w:rsid w:val="00B233FC"/>
    <w:rsid w:val="00B34268"/>
    <w:rsid w:val="00B555F1"/>
    <w:rsid w:val="00B5787C"/>
    <w:rsid w:val="00B71F85"/>
    <w:rsid w:val="00B72BF0"/>
    <w:rsid w:val="00B837A5"/>
    <w:rsid w:val="00B8661F"/>
    <w:rsid w:val="00BA6909"/>
    <w:rsid w:val="00BE1188"/>
    <w:rsid w:val="00BF5E1B"/>
    <w:rsid w:val="00C053D7"/>
    <w:rsid w:val="00C41928"/>
    <w:rsid w:val="00C46314"/>
    <w:rsid w:val="00C8380E"/>
    <w:rsid w:val="00CA16CE"/>
    <w:rsid w:val="00CC530A"/>
    <w:rsid w:val="00D27D48"/>
    <w:rsid w:val="00D339C7"/>
    <w:rsid w:val="00D46ED0"/>
    <w:rsid w:val="00D52131"/>
    <w:rsid w:val="00D52174"/>
    <w:rsid w:val="00D65899"/>
    <w:rsid w:val="00D67468"/>
    <w:rsid w:val="00D82261"/>
    <w:rsid w:val="00D8378D"/>
    <w:rsid w:val="00D97DFF"/>
    <w:rsid w:val="00D97E9A"/>
    <w:rsid w:val="00DA0242"/>
    <w:rsid w:val="00DA76FE"/>
    <w:rsid w:val="00DF7781"/>
    <w:rsid w:val="00E105E6"/>
    <w:rsid w:val="00E37522"/>
    <w:rsid w:val="00E8270E"/>
    <w:rsid w:val="00EB77AD"/>
    <w:rsid w:val="00ED3662"/>
    <w:rsid w:val="00EE6B33"/>
    <w:rsid w:val="00F0265C"/>
    <w:rsid w:val="00F5287C"/>
    <w:rsid w:val="00F52A12"/>
    <w:rsid w:val="00F82283"/>
    <w:rsid w:val="00FC57A5"/>
    <w:rsid w:val="00FC6664"/>
    <w:rsid w:val="00FD2A0E"/>
    <w:rsid w:val="00FD7CB2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50EC"/>
  <w15:chartTrackingRefBased/>
  <w15:docId w15:val="{0BD9A173-D3C6-4B36-948A-CAC98D90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1D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Naslov4">
    <w:name w:val="heading 4"/>
    <w:basedOn w:val="Normal"/>
    <w:next w:val="Normal"/>
    <w:link w:val="Naslov4Char"/>
    <w:qFormat/>
    <w:rsid w:val="008E11D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8E11DA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8E11D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8E11DA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8E11DA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8E11DA"/>
  </w:style>
  <w:style w:type="table" w:customStyle="1" w:styleId="StilTablice">
    <w:name w:val="StilTablice"/>
    <w:basedOn w:val="Obinatablica"/>
    <w:uiPriority w:val="99"/>
    <w:rsid w:val="008E11D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8E11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11DA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11DA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Odlomakpopisa">
    <w:name w:val="List Paragraph"/>
    <w:basedOn w:val="Normal"/>
    <w:uiPriority w:val="34"/>
    <w:qFormat/>
    <w:rsid w:val="008E11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72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7265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Barišić</dc:creator>
  <cp:keywords/>
  <dc:description/>
  <cp:lastModifiedBy>Dominko Vidović</cp:lastModifiedBy>
  <cp:revision>7</cp:revision>
  <cp:lastPrinted>2023-05-24T12:10:00Z</cp:lastPrinted>
  <dcterms:created xsi:type="dcterms:W3CDTF">2024-04-02T12:02:00Z</dcterms:created>
  <dcterms:modified xsi:type="dcterms:W3CDTF">2024-04-03T10:15:00Z</dcterms:modified>
</cp:coreProperties>
</file>